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40" w:lineRule="exact"/>
        <w:jc w:val="center"/>
        <w:rPr>
          <w:rFonts w:ascii="方正小标宋简体" w:eastAsia="方正小标宋简体"/>
          <w:bCs/>
          <w:color w:val="000000"/>
          <w:sz w:val="44"/>
          <w:szCs w:val="44"/>
        </w:rPr>
      </w:pPr>
      <w:r>
        <w:rPr>
          <w:rFonts w:ascii="方正小标宋简体" w:eastAsia="方正小标宋简体" w:hint="eastAsia"/>
          <w:bCs/>
          <w:color w:val="000000"/>
          <w:sz w:val="44"/>
          <w:szCs w:val="44"/>
        </w:rPr>
        <w:t>山丹县</w:t>
      </w:r>
      <w:r>
        <w:rPr>
          <w:rFonts w:ascii="方正小标宋简体" w:eastAsia="方正小标宋简体"/>
          <w:bCs/>
          <w:color w:val="000000"/>
          <w:sz w:val="44"/>
          <w:szCs w:val="44"/>
        </w:rPr>
        <w:t>第一中学</w:t>
      </w:r>
      <w:r>
        <w:rPr>
          <w:rFonts w:ascii="方正小标宋简体" w:eastAsia="方正小标宋简体" w:hint="eastAsia"/>
          <w:bCs/>
          <w:color w:val="000000"/>
          <w:sz w:val="44"/>
          <w:szCs w:val="44"/>
        </w:rPr>
        <w:t>2023年部门预算公开说明</w:t>
      </w:r>
    </w:p>
    <w:p>
      <w:pPr>
        <w:spacing w:line="540" w:lineRule="exact"/>
        <w:jc w:val="center"/>
        <w:rPr>
          <w:rFonts w:ascii="方正小标宋简体" w:eastAsia="方正小标宋简体"/>
          <w:bCs/>
          <w:color w:val="000000"/>
          <w:sz w:val="44"/>
          <w:szCs w:val="44"/>
        </w:rPr>
      </w:pPr>
    </w:p>
    <w:p>
      <w:pPr>
        <w:spacing w:line="576" w:lineRule="exact"/>
        <w:ind w:firstLineChars="200" w:firstLine="640"/>
        <w:jc w:val="left"/>
        <w:rPr>
          <w:rFonts w:ascii="仿宋_GB2312" w:eastAsia="仿宋_GB2312"/>
          <w:bCs/>
          <w:color w:val="000000"/>
          <w:sz w:val="32"/>
          <w:szCs w:val="32"/>
        </w:rPr>
      </w:pPr>
      <w:r>
        <w:rPr>
          <w:rFonts w:ascii="仿宋_GB2312" w:eastAsia="仿宋_GB2312" w:hint="eastAsia"/>
          <w:bCs/>
          <w:color w:val="000000"/>
          <w:sz w:val="32"/>
          <w:szCs w:val="32"/>
        </w:rPr>
        <w:t>按照《预算法》、《地方预决算公开操作规程》、《中共甘肃省委办公厅 甘肃省人民政府办公厅关于进一步推进预算公开工作的实施方案》，现将2023年部门预算公开如下：</w:t>
      </w:r>
    </w:p>
    <w:p>
      <w:pPr>
        <w:spacing w:line="576" w:lineRule="exact"/>
        <w:ind w:firstLineChars="200" w:firstLine="640"/>
        <w:rPr>
          <w:rFonts w:ascii="黑体" w:eastAsia="黑体"/>
          <w:bCs/>
          <w:color w:val="000000"/>
          <w:sz w:val="32"/>
          <w:szCs w:val="32"/>
        </w:rPr>
      </w:pPr>
      <w:r>
        <w:rPr>
          <w:rFonts w:ascii="黑体" w:eastAsia="黑体"/>
          <w:bCs/>
          <w:color w:val="000000"/>
          <w:sz w:val="32"/>
          <w:szCs w:val="32"/>
        </w:rPr>
        <w:t>一、部门职责</w:t>
      </w:r>
    </w:p>
    <w:p>
      <w:pPr>
        <w:widowControl/>
        <w:spacing w:before="150" w:after="150" w:line="576" w:lineRule="exact"/>
        <w:ind w:firstLineChars="200" w:firstLine="640"/>
        <w:rPr>
          <w:rFonts w:ascii="仿宋_GB2312" w:eastAsia="仿宋_GB2312" w:cs="Times New Roman"/>
          <w:sz w:val="32"/>
          <w:szCs w:val="32"/>
        </w:rPr>
      </w:pPr>
      <w:r>
        <w:rPr>
          <w:rFonts w:ascii="仿宋_GB2312" w:eastAsia="仿宋_GB2312" w:hint="eastAsia"/>
          <w:bCs/>
          <w:color w:val="000000"/>
          <w:sz w:val="32"/>
          <w:szCs w:val="32"/>
        </w:rPr>
        <w:t>宣传贯彻执行党和国家的教育方针、政策、法律法规等 ，坚持依法治教、依法治学，贯彻执行县教育局的行政规章制度；配合县、人民政府制定符合党的教育方针和国家教育法律法规以及本校实际的教育发展规划和学校布局调整规划，并抓好组织实施和落实工作；组织开展本校的教育教学科研攻教育教学改革，科研兴教，科研兴校。负责对本校教育教学业务的具体管理，负责教育教学管理及科研教改工作，全面推进素质教育实话；</w:t>
      </w:r>
      <w:r>
        <w:rPr>
          <w:rFonts w:ascii="仿宋_GB2312" w:eastAsia="仿宋_GB2312" w:cs="Times New Roman" w:hint="eastAsia"/>
          <w:sz w:val="32"/>
          <w:szCs w:val="32"/>
        </w:rPr>
        <w:t>学校党委书记主持党的全面工作，负责组织党委重要活动，督促检查党委决议贯彻落实，督促党委班子成员履行职责、发挥作用</w:t>
      </w:r>
      <w:r>
        <w:rPr>
          <w:rFonts w:ascii="仿宋_GB2312" w:eastAsia="仿宋_GB2312" w:cs="Times New Roman"/>
          <w:sz w:val="32"/>
          <w:szCs w:val="32"/>
        </w:rPr>
        <w:t>，</w:t>
      </w:r>
      <w:r>
        <w:rPr>
          <w:rFonts w:ascii="仿宋_GB2312" w:eastAsia="仿宋_GB2312" w:cs="Times New Roman" w:hint="eastAsia"/>
          <w:sz w:val="32"/>
          <w:szCs w:val="32"/>
        </w:rPr>
        <w:t>校长在学校党组织领导下，依法依规行使职权，按照学校党组织有关决议，全面负责学校的教育教学和行政管理等工作。</w:t>
      </w:r>
    </w:p>
    <w:p>
      <w:pPr>
        <w:widowControl/>
        <w:spacing w:before="150" w:after="150" w:line="576" w:lineRule="exact"/>
        <w:ind w:firstLineChars="200" w:firstLine="640"/>
        <w:rPr>
          <w:rFonts w:ascii="黑体" w:eastAsia="黑体"/>
          <w:bCs/>
          <w:color w:val="000000"/>
          <w:sz w:val="32"/>
          <w:szCs w:val="32"/>
        </w:rPr>
      </w:pPr>
      <w:r>
        <w:rPr>
          <w:rFonts w:ascii="黑体" w:eastAsia="黑体"/>
          <w:bCs/>
          <w:color w:val="000000"/>
          <w:sz w:val="32"/>
          <w:szCs w:val="32"/>
        </w:rPr>
        <w:t>二、机构设置</w:t>
      </w:r>
    </w:p>
    <w:p>
      <w:pPr>
        <w:widowControl/>
        <w:spacing w:before="150" w:after="150" w:line="576" w:lineRule="exact"/>
        <w:ind w:firstLine="480"/>
        <w:rPr>
          <w:rFonts w:ascii="楷体_GB2312" w:eastAsia="楷体_GB2312"/>
          <w:bCs/>
          <w:color w:val="000000"/>
          <w:sz w:val="32"/>
          <w:szCs w:val="32"/>
        </w:rPr>
      </w:pPr>
      <w:r>
        <w:rPr>
          <w:rFonts w:ascii="楷体_GB2312" w:eastAsia="楷体_GB2312" w:hint="eastAsia"/>
          <w:bCs/>
          <w:color w:val="000000"/>
          <w:sz w:val="32"/>
          <w:szCs w:val="32"/>
        </w:rPr>
        <w:t>（一）机关内设机构</w:t>
      </w:r>
    </w:p>
    <w:p>
      <w:pPr>
        <w:widowControl/>
        <w:spacing w:before="150" w:after="150" w:line="576" w:lineRule="exact"/>
        <w:ind w:firstLine="480"/>
        <w:rPr>
          <w:rFonts w:ascii="楷体_GB2312" w:eastAsia="楷体_GB2312"/>
          <w:bCs/>
          <w:color w:val="000000"/>
          <w:sz w:val="32"/>
          <w:szCs w:val="32"/>
        </w:rPr>
      </w:pPr>
      <w:r>
        <w:rPr>
          <w:rFonts w:ascii="楷体_GB2312" w:eastAsia="楷体_GB2312" w:hint="eastAsia"/>
          <w:bCs/>
          <w:color w:val="000000"/>
          <w:sz w:val="32"/>
          <w:szCs w:val="32"/>
        </w:rPr>
        <w:t>（一）内设机构</w:t>
      </w:r>
    </w:p>
    <w:p>
      <w:pPr>
        <w:widowControl/>
        <w:spacing w:before="150" w:after="150" w:line="576" w:lineRule="exact"/>
        <w:ind w:firstLineChars="200" w:firstLine="640"/>
        <w:rPr>
          <w:rFonts w:ascii="仿宋_GB2312" w:eastAsia="仿宋_GB2312" w:cs="Times New Roman"/>
          <w:sz w:val="32"/>
          <w:szCs w:val="32"/>
        </w:rPr>
      </w:pPr>
      <w:r>
        <w:rPr>
          <w:rFonts w:ascii="仿宋_GB2312" w:eastAsia="仿宋_GB2312" w:hint="eastAsia"/>
          <w:bCs/>
          <w:color w:val="000000"/>
          <w:sz w:val="32"/>
          <w:szCs w:val="32"/>
        </w:rPr>
        <w:t>山丹县第一中学单位</w:t>
      </w:r>
      <w:r>
        <w:rPr>
          <w:rFonts w:ascii="仿宋_GB2312" w:eastAsia="仿宋_GB2312"/>
          <w:bCs/>
          <w:color w:val="000000"/>
          <w:sz w:val="32"/>
          <w:szCs w:val="32"/>
        </w:rPr>
        <w:t>共设置内设机构</w:t>
      </w:r>
      <w:r>
        <w:rPr>
          <w:rFonts w:ascii="仿宋_GB2312" w:eastAsia="仿宋_GB2312" w:hint="eastAsia"/>
          <w:bCs/>
          <w:color w:val="000000"/>
          <w:sz w:val="32"/>
          <w:szCs w:val="32"/>
        </w:rPr>
        <w:t>9</w:t>
      </w:r>
      <w:r>
        <w:rPr>
          <w:rFonts w:ascii="仿宋_GB2312" w:eastAsia="仿宋_GB2312"/>
          <w:bCs/>
          <w:color w:val="000000"/>
          <w:sz w:val="32"/>
          <w:szCs w:val="32"/>
        </w:rPr>
        <w:t>个，分别是</w:t>
      </w:r>
      <w:r>
        <w:rPr>
          <w:rFonts w:ascii="仿宋_GB2312" w:eastAsia="仿宋_GB2312" w:hint="eastAsia"/>
          <w:bCs/>
          <w:color w:val="000000"/>
          <w:sz w:val="32"/>
          <w:szCs w:val="32"/>
        </w:rPr>
        <w:t>办公室、教导处、科研室、政教处、总务处、年级组、工会、妇委会、团委会等管理机构，负责对本校教育教学业务的具体管理，负责教育教学管理及科研教改工作，全面推进素质教育实话；</w:t>
      </w:r>
      <w:r>
        <w:rPr>
          <w:rFonts w:ascii="仿宋_GB2312" w:eastAsia="仿宋_GB2312" w:cs="Times New Roman" w:hint="eastAsia"/>
          <w:sz w:val="32"/>
          <w:szCs w:val="32"/>
        </w:rPr>
        <w:t>学校党委书记主持党的全面工作，负责组织党委重要活动，督促检查党委决议贯彻落实，督促党委班子成员履行职责、发挥作用</w:t>
      </w:r>
      <w:r>
        <w:rPr>
          <w:rFonts w:ascii="仿宋_GB2312" w:eastAsia="仿宋_GB2312" w:cs="Times New Roman"/>
          <w:sz w:val="32"/>
          <w:szCs w:val="32"/>
        </w:rPr>
        <w:t>，</w:t>
      </w:r>
      <w:r>
        <w:rPr>
          <w:rFonts w:ascii="仿宋_GB2312" w:eastAsia="仿宋_GB2312" w:cs="Times New Roman" w:hint="eastAsia"/>
          <w:sz w:val="32"/>
          <w:szCs w:val="32"/>
        </w:rPr>
        <w:t>校长在学校党组织领导下，依法依规行使职权，按照学校党组织有关决议，全面负责学校的教育教学和行政管理等工作。</w:t>
      </w:r>
      <w:r>
        <w:rPr>
          <w:rFonts w:ascii="仿宋_GB2312" w:eastAsia="仿宋_GB2312"/>
          <w:bCs/>
          <w:color w:val="000000"/>
          <w:sz w:val="32"/>
          <w:szCs w:val="32"/>
        </w:rPr>
        <w:t>现有编制</w:t>
      </w:r>
      <w:r>
        <w:rPr>
          <w:rFonts w:ascii="仿宋_GB2312" w:eastAsia="仿宋_GB2312" w:hint="eastAsia"/>
          <w:bCs/>
          <w:color w:val="000000"/>
          <w:sz w:val="32"/>
          <w:szCs w:val="32"/>
        </w:rPr>
        <w:t>27</w:t>
      </w:r>
      <w:r>
        <w:rPr>
          <w:rFonts w:ascii="仿宋_GB2312" w:eastAsia="仿宋_GB2312"/>
          <w:bCs/>
          <w:color w:val="000000"/>
          <w:sz w:val="32"/>
          <w:szCs w:val="32"/>
        </w:rPr>
        <w:t>2名</w:t>
      </w:r>
      <w:r>
        <w:rPr>
          <w:rFonts w:ascii="仿宋_GB2312" w:eastAsia="仿宋_GB2312" w:hint="eastAsia"/>
          <w:bCs/>
          <w:color w:val="000000"/>
          <w:sz w:val="32"/>
          <w:szCs w:val="32"/>
        </w:rPr>
        <w:t>。</w:t>
      </w:r>
    </w:p>
    <w:p>
      <w:pPr>
        <w:spacing w:line="576" w:lineRule="exact"/>
        <w:ind w:firstLineChars="200" w:firstLine="640"/>
        <w:rPr>
          <w:rFonts w:ascii="黑体" w:eastAsia="黑体"/>
          <w:color w:val="000000"/>
          <w:sz w:val="32"/>
          <w:szCs w:val="32"/>
        </w:rPr>
      </w:pPr>
      <w:r>
        <w:rPr>
          <w:rFonts w:ascii="黑体" w:eastAsia="黑体" w:hint="eastAsia"/>
          <w:color w:val="000000"/>
          <w:sz w:val="32"/>
          <w:szCs w:val="32"/>
        </w:rPr>
        <w:t>三、部门收支总体情况</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按照预算管理有关规定，2023年部门收支包括机关预算和下属单位预算在内的汇总情况。</w:t>
      </w:r>
    </w:p>
    <w:p>
      <w:pPr>
        <w:spacing w:line="576" w:lineRule="exact"/>
        <w:ind w:firstLineChars="200" w:firstLine="640"/>
        <w:rPr>
          <w:rFonts w:ascii="楷体" w:eastAsia="楷体"/>
          <w:color w:val="000000"/>
          <w:sz w:val="32"/>
          <w:szCs w:val="32"/>
        </w:rPr>
      </w:pPr>
      <w:r>
        <w:rPr>
          <w:rFonts w:ascii="楷体" w:eastAsia="楷体" w:hint="eastAsia"/>
          <w:bCs/>
          <w:color w:val="000000"/>
          <w:sz w:val="32"/>
          <w:szCs w:val="32"/>
        </w:rPr>
        <w:t>（一）收入预算</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2023年山丹县第一中学</w:t>
      </w:r>
      <w:r>
        <w:rPr>
          <w:rFonts w:ascii="仿宋" w:eastAsia="仿宋"/>
          <w:color w:val="000000"/>
          <w:sz w:val="32"/>
          <w:szCs w:val="32"/>
        </w:rPr>
        <w:t>一般公共预算财政拨款收入4327.26万元，比2022年预算增加503.3万元，增加的主要原因</w:t>
      </w:r>
      <w:r>
        <w:rPr>
          <w:rFonts w:ascii="仿宋" w:eastAsia="仿宋" w:hint="eastAsia"/>
          <w:color w:val="000000"/>
          <w:sz w:val="32"/>
          <w:szCs w:val="32"/>
        </w:rPr>
        <w:t>是人员增加</w:t>
      </w:r>
      <w:r>
        <w:rPr>
          <w:rFonts w:ascii="仿宋" w:eastAsia="仿宋"/>
          <w:color w:val="000000"/>
          <w:sz w:val="32"/>
          <w:szCs w:val="32"/>
        </w:rPr>
        <w:t>。</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当年的财政拨款包括：一般公共预算收入</w:t>
      </w:r>
      <w:r>
        <w:rPr>
          <w:rFonts w:ascii="仿宋" w:eastAsia="仿宋"/>
          <w:color w:val="000000"/>
          <w:sz w:val="32"/>
          <w:szCs w:val="32"/>
        </w:rPr>
        <w:t>4327.26万元，</w:t>
      </w:r>
      <w:r>
        <w:rPr>
          <w:rFonts w:ascii="仿宋" w:eastAsia="仿宋" w:hint="eastAsia"/>
          <w:color w:val="000000"/>
          <w:sz w:val="32"/>
          <w:szCs w:val="32"/>
        </w:rPr>
        <w:t>政府性基金预算收入</w:t>
      </w:r>
      <w:r>
        <w:rPr>
          <w:rFonts w:ascii="仿宋" w:eastAsia="仿宋"/>
          <w:color w:val="000000"/>
          <w:sz w:val="32"/>
          <w:szCs w:val="32"/>
        </w:rPr>
        <w:t>0万元</w:t>
      </w:r>
      <w:r>
        <w:rPr>
          <w:rFonts w:ascii="仿宋" w:eastAsia="仿宋" w:hint="eastAsia"/>
          <w:color w:val="000000"/>
          <w:sz w:val="32"/>
          <w:szCs w:val="32"/>
        </w:rPr>
        <w:t>。</w:t>
      </w:r>
    </w:p>
    <w:p>
      <w:pPr>
        <w:spacing w:line="576" w:lineRule="exact"/>
        <w:ind w:firstLineChars="200" w:firstLine="640"/>
        <w:rPr>
          <w:rFonts w:ascii="楷体" w:eastAsia="楷体"/>
          <w:color w:val="000000"/>
          <w:sz w:val="32"/>
          <w:szCs w:val="32"/>
        </w:rPr>
      </w:pPr>
      <w:r>
        <w:rPr>
          <w:rFonts w:ascii="楷体" w:eastAsia="楷体" w:hint="eastAsia"/>
          <w:bCs/>
          <w:color w:val="000000"/>
          <w:sz w:val="32"/>
          <w:szCs w:val="32"/>
        </w:rPr>
        <w:t>（二）支出预算</w:t>
      </w:r>
    </w:p>
    <w:p>
      <w:pPr>
        <w:spacing w:line="576" w:lineRule="exact"/>
        <w:ind w:firstLineChars="200" w:firstLine="640"/>
        <w:rPr>
          <w:rFonts w:ascii="仿宋" w:eastAsia="仿宋"/>
          <w:b/>
          <w:color w:val="000000"/>
          <w:sz w:val="32"/>
          <w:szCs w:val="32"/>
        </w:rPr>
      </w:pPr>
      <w:r>
        <w:rPr>
          <w:rFonts w:ascii="仿宋" w:eastAsia="仿宋" w:hint="eastAsia"/>
          <w:color w:val="000000"/>
          <w:sz w:val="32"/>
          <w:szCs w:val="32"/>
        </w:rPr>
        <w:t>2023年</w:t>
      </w:r>
      <w:r>
        <w:rPr>
          <w:rFonts w:ascii="仿宋" w:eastAsia="仿宋"/>
          <w:color w:val="000000"/>
          <w:sz w:val="32"/>
          <w:szCs w:val="32"/>
        </w:rPr>
        <w:t>度预算支出合计4327.26万元，</w:t>
      </w:r>
      <w:r>
        <w:rPr>
          <w:rFonts w:ascii="仿宋" w:eastAsia="仿宋" w:hint="eastAsia"/>
          <w:color w:val="000000"/>
          <w:sz w:val="32"/>
          <w:szCs w:val="32"/>
        </w:rPr>
        <w:t>比202</w:t>
      </w:r>
      <w:r>
        <w:rPr>
          <w:rFonts w:ascii="仿宋" w:eastAsia="仿宋"/>
          <w:color w:val="000000"/>
          <w:sz w:val="32"/>
          <w:szCs w:val="32"/>
        </w:rPr>
        <w:t>2</w:t>
      </w:r>
      <w:r>
        <w:rPr>
          <w:rFonts w:ascii="仿宋" w:eastAsia="仿宋" w:hint="eastAsia"/>
          <w:color w:val="000000"/>
          <w:sz w:val="32"/>
          <w:szCs w:val="32"/>
        </w:rPr>
        <w:t>年预算增加</w:t>
      </w:r>
      <w:r>
        <w:rPr>
          <w:rFonts w:ascii="仿宋" w:eastAsia="仿宋"/>
          <w:color w:val="000000"/>
          <w:sz w:val="32"/>
          <w:szCs w:val="32"/>
        </w:rPr>
        <w:t>503.3</w:t>
      </w:r>
      <w:r>
        <w:rPr>
          <w:rFonts w:ascii="仿宋" w:eastAsia="仿宋" w:hint="eastAsia"/>
          <w:color w:val="000000"/>
          <w:sz w:val="32"/>
          <w:szCs w:val="32"/>
        </w:rPr>
        <w:t>万元，增长</w:t>
      </w:r>
      <w:r>
        <w:rPr>
          <w:rFonts w:ascii="仿宋" w:eastAsia="仿宋"/>
          <w:color w:val="000000"/>
          <w:sz w:val="32"/>
          <w:szCs w:val="32"/>
        </w:rPr>
        <w:t>1.13</w:t>
      </w:r>
      <w:r>
        <w:rPr>
          <w:rFonts w:ascii="仿宋" w:eastAsia="仿宋" w:hint="eastAsia"/>
          <w:color w:val="000000"/>
          <w:sz w:val="32"/>
          <w:szCs w:val="32"/>
        </w:rPr>
        <w:t>%，</w:t>
      </w:r>
      <w:r>
        <w:rPr>
          <w:rFonts w:ascii="仿宋" w:eastAsia="仿宋"/>
          <w:color w:val="000000"/>
          <w:sz w:val="32"/>
          <w:szCs w:val="32"/>
        </w:rPr>
        <w:t>增加的主要原因</w:t>
      </w:r>
      <w:r>
        <w:rPr>
          <w:rFonts w:ascii="仿宋" w:eastAsia="仿宋" w:hint="eastAsia"/>
          <w:color w:val="000000"/>
          <w:sz w:val="32"/>
          <w:szCs w:val="32"/>
        </w:rPr>
        <w:t>是人员增加。当年财政拨款主要是：</w:t>
      </w:r>
      <w:r>
        <w:rPr>
          <w:rFonts w:ascii="仿宋" w:eastAsia="仿宋" w:hint="eastAsia"/>
          <w:b/>
          <w:color w:val="000000"/>
          <w:sz w:val="32"/>
          <w:szCs w:val="32"/>
        </w:rPr>
        <w:t>（以下内容列出涉及本单位科目）</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1.</w:t>
      </w:r>
      <w:r>
        <w:rPr>
          <w:rFonts w:hint="eastAsia"/>
        </w:rPr>
        <w:t xml:space="preserve"> </w:t>
      </w:r>
      <w:r>
        <w:rPr>
          <w:rFonts w:ascii="仿宋" w:eastAsia="仿宋" w:hint="eastAsia"/>
          <w:color w:val="000000"/>
          <w:sz w:val="32"/>
          <w:szCs w:val="32"/>
        </w:rPr>
        <w:t>教育支出</w:t>
      </w:r>
      <w:r>
        <w:rPr>
          <w:rFonts w:ascii="仿宋" w:eastAsia="仿宋"/>
          <w:color w:val="000000"/>
          <w:sz w:val="32"/>
          <w:szCs w:val="32"/>
        </w:rPr>
        <w:t>3353.78万元</w:t>
      </w:r>
      <w:r>
        <w:rPr>
          <w:rFonts w:ascii="仿宋" w:eastAsia="仿宋" w:hint="eastAsia"/>
          <w:color w:val="000000"/>
          <w:sz w:val="32"/>
          <w:szCs w:val="32"/>
        </w:rPr>
        <w:t>。</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2.</w:t>
      </w:r>
      <w:r>
        <w:rPr>
          <w:rFonts w:hint="eastAsia"/>
        </w:rPr>
        <w:t xml:space="preserve"> </w:t>
      </w:r>
      <w:r>
        <w:rPr>
          <w:rFonts w:ascii="仿宋" w:eastAsia="仿宋" w:hint="eastAsia"/>
          <w:color w:val="000000"/>
          <w:sz w:val="32"/>
          <w:szCs w:val="32"/>
        </w:rPr>
        <w:t>社会保障和就业支出</w:t>
      </w:r>
      <w:r>
        <w:rPr>
          <w:rFonts w:ascii="仿宋" w:eastAsia="仿宋"/>
          <w:color w:val="000000"/>
          <w:sz w:val="32"/>
          <w:szCs w:val="32"/>
        </w:rPr>
        <w:t>448.87万元</w:t>
      </w:r>
      <w:r>
        <w:rPr>
          <w:rFonts w:ascii="仿宋" w:eastAsia="仿宋" w:hint="eastAsia"/>
          <w:color w:val="000000"/>
          <w:sz w:val="32"/>
          <w:szCs w:val="32"/>
        </w:rPr>
        <w:t>。</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3.</w:t>
      </w:r>
      <w:r>
        <w:rPr>
          <w:rFonts w:hint="eastAsia"/>
        </w:rPr>
        <w:t xml:space="preserve"> </w:t>
      </w:r>
      <w:r>
        <w:rPr>
          <w:rFonts w:ascii="仿宋" w:eastAsia="仿宋" w:hint="eastAsia"/>
          <w:color w:val="000000"/>
          <w:sz w:val="32"/>
          <w:szCs w:val="32"/>
        </w:rPr>
        <w:t>卫生健康支出</w:t>
      </w:r>
      <w:r>
        <w:rPr>
          <w:rFonts w:ascii="仿宋" w:eastAsia="仿宋"/>
          <w:color w:val="000000"/>
          <w:sz w:val="32"/>
          <w:szCs w:val="32"/>
        </w:rPr>
        <w:t>233.51万元</w:t>
      </w:r>
      <w:r>
        <w:rPr>
          <w:rFonts w:ascii="仿宋" w:eastAsia="仿宋" w:hint="eastAsia"/>
          <w:color w:val="000000"/>
          <w:sz w:val="32"/>
          <w:szCs w:val="32"/>
        </w:rPr>
        <w:t>。</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4.</w:t>
      </w:r>
      <w:r>
        <w:rPr>
          <w:rFonts w:ascii="仿宋" w:eastAsia="仿宋"/>
          <w:color w:val="000000"/>
          <w:sz w:val="32"/>
          <w:szCs w:val="32"/>
        </w:rPr>
        <w:t>住房保障支出291.10万元</w:t>
      </w:r>
      <w:r>
        <w:rPr>
          <w:rFonts w:ascii="仿宋" w:eastAsia="仿宋" w:hint="eastAsia"/>
          <w:color w:val="000000"/>
          <w:sz w:val="32"/>
          <w:szCs w:val="32"/>
        </w:rPr>
        <w:t>。</w:t>
      </w:r>
    </w:p>
    <w:p>
      <w:pPr>
        <w:spacing w:line="576" w:lineRule="exact"/>
        <w:ind w:firstLineChars="200" w:firstLine="640"/>
        <w:rPr>
          <w:rFonts w:ascii="黑体" w:eastAsia="黑体"/>
          <w:color w:val="000000"/>
          <w:sz w:val="32"/>
          <w:szCs w:val="32"/>
        </w:rPr>
      </w:pPr>
      <w:r>
        <w:rPr>
          <w:rFonts w:ascii="黑体" w:eastAsia="黑体" w:hint="eastAsia"/>
          <w:color w:val="000000"/>
          <w:sz w:val="32"/>
          <w:szCs w:val="32"/>
        </w:rPr>
        <w:t>四、一般公共预算情况</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2023年一般公共预算支出</w:t>
      </w:r>
      <w:r>
        <w:rPr>
          <w:rFonts w:ascii="仿宋" w:eastAsia="仿宋"/>
          <w:color w:val="000000"/>
          <w:sz w:val="32"/>
          <w:szCs w:val="32"/>
        </w:rPr>
        <w:t>4327.26</w:t>
      </w:r>
      <w:r>
        <w:rPr>
          <w:rFonts w:ascii="仿宋" w:eastAsia="仿宋" w:hint="eastAsia"/>
          <w:color w:val="000000"/>
          <w:sz w:val="32"/>
          <w:szCs w:val="32"/>
        </w:rPr>
        <w:t>万元（详见部门预算公开表4,5,6,7-1,7-2），具体安排情况如下：</w:t>
      </w:r>
    </w:p>
    <w:p>
      <w:pPr>
        <w:spacing w:line="576" w:lineRule="exact"/>
        <w:ind w:firstLineChars="200" w:firstLine="640"/>
        <w:rPr>
          <w:rFonts w:ascii="楷体" w:eastAsia="楷体"/>
          <w:color w:val="000000"/>
          <w:sz w:val="32"/>
          <w:szCs w:val="32"/>
        </w:rPr>
      </w:pPr>
      <w:r>
        <w:rPr>
          <w:rFonts w:ascii="楷体" w:eastAsia="楷体" w:hint="eastAsia"/>
          <w:bCs/>
          <w:color w:val="000000"/>
          <w:sz w:val="32"/>
          <w:szCs w:val="32"/>
        </w:rPr>
        <w:t>（一）基本支出</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2023年基本支出</w:t>
      </w:r>
      <w:r>
        <w:rPr>
          <w:rFonts w:ascii="仿宋" w:eastAsia="仿宋"/>
          <w:color w:val="000000"/>
          <w:sz w:val="32"/>
          <w:szCs w:val="32"/>
        </w:rPr>
        <w:t>4327.26</w:t>
      </w:r>
      <w:r>
        <w:rPr>
          <w:rFonts w:ascii="仿宋" w:eastAsia="仿宋" w:hint="eastAsia"/>
          <w:color w:val="000000"/>
          <w:sz w:val="32"/>
          <w:szCs w:val="32"/>
        </w:rPr>
        <w:t>万元，比202</w:t>
      </w:r>
      <w:r>
        <w:rPr>
          <w:rFonts w:ascii="仿宋" w:eastAsia="仿宋"/>
          <w:color w:val="000000"/>
          <w:sz w:val="32"/>
          <w:szCs w:val="32"/>
        </w:rPr>
        <w:t>2</w:t>
      </w:r>
      <w:r>
        <w:rPr>
          <w:rFonts w:ascii="仿宋" w:eastAsia="仿宋" w:hint="eastAsia"/>
          <w:color w:val="000000"/>
          <w:sz w:val="32"/>
          <w:szCs w:val="32"/>
        </w:rPr>
        <w:t>年预算增加</w:t>
      </w:r>
      <w:r>
        <w:rPr>
          <w:rFonts w:ascii="仿宋" w:eastAsia="仿宋"/>
          <w:color w:val="000000"/>
          <w:sz w:val="32"/>
          <w:szCs w:val="32"/>
        </w:rPr>
        <w:t>503.3</w:t>
      </w:r>
      <w:r>
        <w:rPr>
          <w:rFonts w:ascii="仿宋" w:eastAsia="仿宋" w:hint="eastAsia"/>
          <w:color w:val="000000"/>
          <w:sz w:val="32"/>
          <w:szCs w:val="32"/>
        </w:rPr>
        <w:t>万元，增长</w:t>
      </w:r>
      <w:r>
        <w:rPr>
          <w:rFonts w:ascii="仿宋" w:eastAsia="仿宋"/>
          <w:color w:val="000000"/>
          <w:sz w:val="32"/>
          <w:szCs w:val="32"/>
        </w:rPr>
        <w:t>1.13</w:t>
      </w:r>
      <w:r>
        <w:rPr>
          <w:rFonts w:ascii="仿宋" w:eastAsia="仿宋" w:hint="eastAsia"/>
          <w:color w:val="000000"/>
          <w:sz w:val="32"/>
          <w:szCs w:val="32"/>
        </w:rPr>
        <w:t>%，</w:t>
      </w:r>
      <w:r>
        <w:rPr>
          <w:rFonts w:ascii="仿宋" w:eastAsia="仿宋"/>
          <w:color w:val="000000"/>
          <w:sz w:val="32"/>
          <w:szCs w:val="32"/>
        </w:rPr>
        <w:t>增加的主要原因</w:t>
      </w:r>
      <w:r>
        <w:rPr>
          <w:rFonts w:ascii="仿宋" w:eastAsia="仿宋" w:hint="eastAsia"/>
          <w:color w:val="000000"/>
          <w:sz w:val="32"/>
          <w:szCs w:val="32"/>
        </w:rPr>
        <w:t>是人员增加。</w:t>
      </w:r>
    </w:p>
    <w:p>
      <w:pPr>
        <w:spacing w:line="576" w:lineRule="exact"/>
        <w:ind w:firstLineChars="200" w:firstLine="640"/>
        <w:rPr>
          <w:rFonts w:ascii="楷体" w:eastAsia="楷体"/>
          <w:color w:val="000000"/>
          <w:sz w:val="32"/>
          <w:szCs w:val="32"/>
        </w:rPr>
      </w:pPr>
      <w:r>
        <w:rPr>
          <w:rFonts w:ascii="楷体" w:eastAsia="楷体" w:hint="eastAsia"/>
          <w:bCs/>
          <w:color w:val="000000"/>
          <w:sz w:val="32"/>
          <w:szCs w:val="32"/>
        </w:rPr>
        <w:t>（二）项目支出</w:t>
      </w:r>
    </w:p>
    <w:p>
      <w:pPr>
        <w:spacing w:line="576" w:lineRule="exact"/>
        <w:ind w:firstLineChars="200" w:firstLine="640"/>
        <w:rPr>
          <w:rFonts w:ascii="楷体" w:eastAsia="楷体"/>
          <w:color w:val="000000"/>
          <w:sz w:val="32"/>
          <w:szCs w:val="32"/>
        </w:rPr>
      </w:pPr>
      <w:r>
        <w:rPr>
          <w:rFonts w:ascii="仿宋" w:eastAsia="仿宋" w:hint="eastAsia"/>
          <w:color w:val="000000"/>
          <w:sz w:val="32"/>
          <w:szCs w:val="32"/>
        </w:rPr>
        <w:t>2023年一般公共预算财政拨款</w:t>
      </w:r>
      <w:r>
        <w:rPr>
          <w:rFonts w:ascii="仿宋" w:eastAsia="仿宋"/>
          <w:color w:val="000000"/>
          <w:sz w:val="32"/>
          <w:szCs w:val="32"/>
        </w:rPr>
        <w:t>无</w:t>
      </w:r>
      <w:r>
        <w:rPr>
          <w:rFonts w:ascii="仿宋" w:eastAsia="仿宋" w:hint="eastAsia"/>
          <w:color w:val="000000"/>
          <w:sz w:val="32"/>
          <w:szCs w:val="32"/>
        </w:rPr>
        <w:t>项目支出预算</w:t>
      </w:r>
      <w:r>
        <w:rPr>
          <w:rFonts w:ascii="仿宋" w:eastAsia="仿宋"/>
          <w:color w:val="000000"/>
          <w:sz w:val="32"/>
          <w:szCs w:val="32"/>
        </w:rPr>
        <w:t>。</w:t>
      </w:r>
    </w:p>
    <w:p>
      <w:pPr>
        <w:spacing w:line="576" w:lineRule="exact"/>
        <w:ind w:firstLineChars="200" w:firstLine="640"/>
        <w:rPr>
          <w:rFonts w:ascii="楷体" w:eastAsia="楷体"/>
          <w:bCs/>
          <w:color w:val="000000"/>
          <w:sz w:val="32"/>
          <w:szCs w:val="32"/>
        </w:rPr>
      </w:pPr>
      <w:r>
        <w:rPr>
          <w:rFonts w:ascii="楷体" w:eastAsia="楷体" w:hint="eastAsia"/>
          <w:bCs/>
          <w:color w:val="000000"/>
          <w:sz w:val="32"/>
          <w:szCs w:val="32"/>
        </w:rPr>
        <w:t>（三）部门管理的转移支付</w:t>
      </w:r>
    </w:p>
    <w:p>
      <w:pPr>
        <w:spacing w:line="576" w:lineRule="exact"/>
        <w:ind w:firstLineChars="200" w:firstLine="640"/>
        <w:rPr>
          <w:rFonts w:ascii="仿宋" w:eastAsia="仿宋"/>
          <w:bCs/>
          <w:color w:val="000000"/>
          <w:sz w:val="32"/>
          <w:szCs w:val="32"/>
        </w:rPr>
      </w:pPr>
      <w:r>
        <w:rPr>
          <w:rFonts w:ascii="仿宋" w:eastAsia="仿宋" w:hint="eastAsia"/>
          <w:bCs/>
          <w:color w:val="000000"/>
          <w:sz w:val="32"/>
          <w:szCs w:val="32"/>
        </w:rPr>
        <w:t>2023年无部门管理的转移支出</w:t>
      </w:r>
    </w:p>
    <w:p>
      <w:pPr>
        <w:spacing w:line="576" w:lineRule="exact"/>
        <w:ind w:firstLineChars="200" w:firstLine="640"/>
        <w:rPr>
          <w:rFonts w:ascii="楷体" w:eastAsia="楷体"/>
          <w:color w:val="000000"/>
          <w:sz w:val="32"/>
          <w:szCs w:val="32"/>
        </w:rPr>
      </w:pPr>
      <w:r>
        <w:rPr>
          <w:rFonts w:ascii="楷体" w:eastAsia="楷体" w:hint="eastAsia"/>
          <w:color w:val="000000"/>
          <w:sz w:val="32"/>
          <w:szCs w:val="32"/>
        </w:rPr>
        <w:t xml:space="preserve"> (四)</w:t>
      </w:r>
      <w:r>
        <w:rPr>
          <w:rFonts w:ascii="楷体" w:eastAsia="楷体"/>
          <w:color w:val="000000"/>
          <w:sz w:val="32"/>
          <w:szCs w:val="32"/>
        </w:rPr>
        <w:t xml:space="preserve"> </w:t>
      </w:r>
      <w:r>
        <w:rPr>
          <w:rFonts w:ascii="楷体" w:eastAsia="楷体" w:hint="eastAsia"/>
          <w:color w:val="000000"/>
          <w:sz w:val="32"/>
          <w:szCs w:val="32"/>
        </w:rPr>
        <w:t>非税收入</w:t>
      </w:r>
    </w:p>
    <w:p>
      <w:pPr>
        <w:spacing w:line="576" w:lineRule="exact"/>
        <w:ind w:firstLineChars="200" w:firstLine="640"/>
        <w:rPr>
          <w:rFonts w:eastAsia="仿宋"/>
          <w:color w:val="000000"/>
          <w:sz w:val="32"/>
          <w:szCs w:val="32"/>
        </w:rPr>
      </w:pPr>
      <w:r>
        <w:rPr>
          <w:rFonts w:eastAsia="仿宋" w:hint="eastAsia"/>
          <w:color w:val="000000"/>
          <w:sz w:val="32"/>
          <w:szCs w:val="32"/>
        </w:rPr>
        <w:t>本单位无非税收入</w:t>
      </w:r>
      <w:r>
        <w:rPr>
          <w:rFonts w:eastAsia="仿宋"/>
          <w:color w:val="000000"/>
          <w:sz w:val="32"/>
          <w:szCs w:val="32"/>
        </w:rPr>
        <w:t xml:space="preserve">          </w:t>
      </w:r>
    </w:p>
    <w:p>
      <w:pPr>
        <w:spacing w:line="576" w:lineRule="exact"/>
        <w:ind w:firstLineChars="200" w:firstLine="640"/>
        <w:rPr>
          <w:rFonts w:ascii="黑体" w:eastAsia="黑体"/>
          <w:bCs/>
          <w:color w:val="000000"/>
          <w:sz w:val="32"/>
          <w:szCs w:val="32"/>
        </w:rPr>
      </w:pPr>
      <w:r>
        <w:rPr>
          <w:rFonts w:ascii="黑体" w:eastAsia="黑体" w:hint="eastAsia"/>
          <w:bCs/>
          <w:color w:val="000000"/>
          <w:sz w:val="32"/>
          <w:szCs w:val="32"/>
        </w:rPr>
        <w:t>五、</w:t>
      </w:r>
      <w:r>
        <w:rPr>
          <w:rFonts w:ascii="黑体" w:eastAsia="黑体"/>
          <w:bCs/>
          <w:color w:val="000000"/>
          <w:sz w:val="32"/>
          <w:szCs w:val="32"/>
        </w:rPr>
        <w:t xml:space="preserve">政府性基金预算支出情况   </w:t>
      </w:r>
    </w:p>
    <w:p>
      <w:pPr>
        <w:spacing w:line="576" w:lineRule="exact"/>
        <w:ind w:firstLineChars="200" w:firstLine="640"/>
        <w:rPr>
          <w:rFonts w:eastAsia="仿宋"/>
          <w:color w:val="000000"/>
          <w:sz w:val="32"/>
          <w:szCs w:val="32"/>
        </w:rPr>
      </w:pPr>
      <w:r>
        <w:rPr>
          <w:rFonts w:eastAsia="仿宋"/>
          <w:color w:val="000000"/>
          <w:sz w:val="32"/>
          <w:szCs w:val="32"/>
        </w:rPr>
        <w:t>2023年预算，无政府性基金预算支出</w:t>
      </w:r>
      <w:bookmarkStart w:id="0" w:name="_GoBack"/>
      <w:bookmarkEnd w:id="0"/>
    </w:p>
    <w:p>
      <w:pPr>
        <w:spacing w:line="576" w:lineRule="exact"/>
        <w:ind w:firstLineChars="200" w:firstLine="640"/>
        <w:rPr>
          <w:rFonts w:ascii="黑体" w:eastAsia="黑体"/>
          <w:bCs/>
          <w:color w:val="000000"/>
          <w:sz w:val="32"/>
          <w:szCs w:val="32"/>
        </w:rPr>
      </w:pPr>
      <w:r>
        <w:rPr>
          <w:rFonts w:ascii="黑体" w:eastAsia="黑体" w:hint="eastAsia"/>
          <w:bCs/>
          <w:color w:val="000000"/>
          <w:sz w:val="32"/>
          <w:szCs w:val="32"/>
        </w:rPr>
        <w:t>六、国有资本经营预算</w:t>
      </w:r>
      <w:r>
        <w:rPr>
          <w:rFonts w:ascii="黑体" w:eastAsia="黑体"/>
          <w:bCs/>
          <w:color w:val="000000"/>
          <w:sz w:val="32"/>
          <w:szCs w:val="32"/>
        </w:rPr>
        <w:t>支出情况</w:t>
      </w:r>
    </w:p>
    <w:p>
      <w:pPr>
        <w:spacing w:line="576" w:lineRule="exact"/>
        <w:ind w:firstLineChars="200" w:firstLine="640"/>
        <w:rPr>
          <w:rFonts w:ascii="仿宋" w:eastAsia="仿宋"/>
          <w:color w:val="000000"/>
          <w:sz w:val="32"/>
          <w:szCs w:val="32"/>
        </w:rPr>
      </w:pPr>
      <w:r>
        <w:rPr>
          <w:rFonts w:eastAsia="仿宋"/>
          <w:color w:val="000000"/>
          <w:sz w:val="32"/>
          <w:szCs w:val="32"/>
        </w:rPr>
        <w:t>2023年预算，</w:t>
      </w:r>
      <w:r>
        <w:rPr>
          <w:rFonts w:eastAsia="仿宋" w:hint="eastAsia"/>
          <w:color w:val="000000"/>
          <w:sz w:val="32"/>
          <w:szCs w:val="32"/>
        </w:rPr>
        <w:t>国有资本经营支出预算为0元。</w:t>
      </w:r>
    </w:p>
    <w:p>
      <w:pPr>
        <w:spacing w:line="576" w:lineRule="exact"/>
        <w:ind w:firstLineChars="200" w:firstLine="640"/>
        <w:rPr>
          <w:rFonts w:ascii="黑体" w:eastAsia="黑体"/>
          <w:color w:val="000000"/>
          <w:sz w:val="32"/>
          <w:szCs w:val="32"/>
        </w:rPr>
      </w:pPr>
      <w:r>
        <w:rPr>
          <w:rFonts w:ascii="黑体" w:eastAsia="黑体" w:hint="eastAsia"/>
          <w:bCs/>
          <w:color w:val="000000"/>
          <w:sz w:val="32"/>
          <w:szCs w:val="32"/>
        </w:rPr>
        <w:t>七</w:t>
      </w:r>
      <w:r>
        <w:rPr>
          <w:rFonts w:ascii="黑体" w:eastAsia="黑体"/>
          <w:bCs/>
          <w:color w:val="000000"/>
          <w:sz w:val="32"/>
          <w:szCs w:val="32"/>
        </w:rPr>
        <w:t>、部门“三公”经费等预算安排情况</w:t>
      </w:r>
    </w:p>
    <w:p>
      <w:pPr>
        <w:spacing w:line="576" w:lineRule="exact"/>
        <w:ind w:firstLineChars="200" w:firstLine="640"/>
        <w:rPr>
          <w:rFonts w:ascii="仿宋" w:eastAsia="仿宋"/>
          <w:color w:val="000000"/>
          <w:sz w:val="32"/>
          <w:szCs w:val="32"/>
        </w:rPr>
      </w:pPr>
      <w:r>
        <w:rPr>
          <w:rFonts w:ascii="仿宋" w:eastAsia="仿宋"/>
          <w:color w:val="000000"/>
          <w:sz w:val="32"/>
          <w:szCs w:val="32"/>
        </w:rPr>
        <w:t>1.因公出国（境）费用0万元。</w:t>
      </w:r>
    </w:p>
    <w:p>
      <w:pPr>
        <w:spacing w:line="576" w:lineRule="exact"/>
        <w:ind w:firstLineChars="200" w:firstLine="640"/>
        <w:rPr>
          <w:rFonts w:ascii="仿宋" w:eastAsia="仿宋"/>
          <w:color w:val="000000"/>
          <w:sz w:val="32"/>
          <w:szCs w:val="32"/>
        </w:rPr>
      </w:pPr>
      <w:r>
        <w:rPr>
          <w:rFonts w:ascii="仿宋" w:eastAsia="仿宋"/>
          <w:color w:val="000000"/>
          <w:sz w:val="32"/>
          <w:szCs w:val="32"/>
        </w:rPr>
        <w:t>2.公务接待费</w:t>
      </w:r>
      <w:r>
        <w:rPr>
          <w:rFonts w:ascii="仿宋" w:eastAsia="仿宋" w:hint="eastAsia"/>
          <w:color w:val="000000"/>
          <w:sz w:val="32"/>
          <w:szCs w:val="32"/>
        </w:rPr>
        <w:t>0</w:t>
      </w:r>
      <w:r>
        <w:rPr>
          <w:rFonts w:ascii="仿宋" w:eastAsia="仿宋"/>
          <w:color w:val="000000"/>
          <w:sz w:val="32"/>
          <w:szCs w:val="32"/>
        </w:rPr>
        <w:t>万元。</w:t>
      </w:r>
    </w:p>
    <w:p>
      <w:pPr>
        <w:spacing w:line="576" w:lineRule="exact"/>
        <w:ind w:firstLineChars="200" w:firstLine="640"/>
        <w:rPr>
          <w:rFonts w:ascii="仿宋" w:eastAsia="仿宋"/>
          <w:color w:val="000000"/>
          <w:sz w:val="32"/>
          <w:szCs w:val="32"/>
        </w:rPr>
      </w:pPr>
      <w:r>
        <w:rPr>
          <w:rFonts w:ascii="仿宋" w:eastAsia="仿宋"/>
          <w:color w:val="000000"/>
          <w:sz w:val="32"/>
          <w:szCs w:val="32"/>
        </w:rPr>
        <w:t>3.公务用车购置及运行维护费</w:t>
      </w:r>
      <w:r>
        <w:rPr>
          <w:rFonts w:ascii="仿宋" w:eastAsia="仿宋" w:hint="eastAsia"/>
          <w:color w:val="000000"/>
          <w:sz w:val="32"/>
          <w:szCs w:val="32"/>
        </w:rPr>
        <w:t>0</w:t>
      </w:r>
      <w:r>
        <w:rPr>
          <w:rFonts w:ascii="仿宋" w:eastAsia="仿宋"/>
          <w:color w:val="000000"/>
          <w:sz w:val="32"/>
          <w:szCs w:val="32"/>
        </w:rPr>
        <w:t>万元。</w:t>
      </w:r>
    </w:p>
    <w:p>
      <w:pPr>
        <w:spacing w:line="576" w:lineRule="exact"/>
        <w:ind w:firstLineChars="200" w:firstLine="640"/>
        <w:rPr>
          <w:rFonts w:ascii="仿宋" w:eastAsia="仿宋"/>
          <w:color w:val="000000"/>
          <w:sz w:val="32"/>
          <w:szCs w:val="32"/>
        </w:rPr>
      </w:pPr>
      <w:r>
        <w:rPr>
          <w:rFonts w:ascii="仿宋" w:eastAsia="仿宋"/>
          <w:color w:val="000000"/>
          <w:sz w:val="32"/>
          <w:szCs w:val="32"/>
        </w:rPr>
        <w:t>4.培训费</w:t>
      </w:r>
      <w:r>
        <w:rPr>
          <w:rFonts w:ascii="仿宋" w:eastAsia="仿宋" w:hint="eastAsia"/>
          <w:color w:val="000000"/>
          <w:sz w:val="32"/>
          <w:szCs w:val="32"/>
        </w:rPr>
        <w:t>0</w:t>
      </w:r>
      <w:r>
        <w:rPr>
          <w:rFonts w:ascii="仿宋" w:eastAsia="仿宋"/>
          <w:color w:val="000000"/>
          <w:sz w:val="32"/>
          <w:szCs w:val="32"/>
        </w:rPr>
        <w:t>万元</w:t>
      </w:r>
      <w:r>
        <w:rPr>
          <w:rFonts w:ascii="仿宋" w:eastAsia="仿宋" w:hint="eastAsia"/>
          <w:color w:val="000000"/>
          <w:sz w:val="32"/>
          <w:szCs w:val="32"/>
        </w:rPr>
        <w:t>.</w:t>
      </w:r>
    </w:p>
    <w:p>
      <w:pPr>
        <w:spacing w:line="576" w:lineRule="exact"/>
        <w:ind w:firstLineChars="200" w:firstLine="640"/>
        <w:rPr>
          <w:rFonts w:ascii="仿宋" w:eastAsia="仿宋"/>
          <w:color w:val="000000"/>
          <w:sz w:val="32"/>
          <w:szCs w:val="32"/>
        </w:rPr>
      </w:pPr>
      <w:r>
        <w:rPr>
          <w:rFonts w:ascii="仿宋" w:eastAsia="仿宋"/>
          <w:color w:val="000000"/>
          <w:sz w:val="32"/>
          <w:szCs w:val="32"/>
        </w:rPr>
        <w:t>5.会议费</w:t>
      </w:r>
      <w:r>
        <w:rPr>
          <w:rFonts w:ascii="仿宋" w:eastAsia="仿宋" w:hint="eastAsia"/>
          <w:color w:val="000000"/>
          <w:sz w:val="32"/>
          <w:szCs w:val="32"/>
        </w:rPr>
        <w:t>0</w:t>
      </w:r>
      <w:r>
        <w:rPr>
          <w:rFonts w:ascii="仿宋" w:eastAsia="仿宋"/>
          <w:color w:val="000000"/>
          <w:sz w:val="32"/>
          <w:szCs w:val="32"/>
        </w:rPr>
        <w:t>万元</w:t>
      </w:r>
      <w:r>
        <w:rPr>
          <w:rFonts w:ascii="仿宋" w:eastAsia="仿宋" w:hint="eastAsia"/>
          <w:color w:val="000000"/>
          <w:sz w:val="32"/>
          <w:szCs w:val="32"/>
        </w:rPr>
        <w:t>。</w:t>
      </w:r>
    </w:p>
    <w:p>
      <w:pPr>
        <w:spacing w:line="576" w:lineRule="exact"/>
        <w:ind w:firstLineChars="200" w:firstLine="640"/>
        <w:rPr>
          <w:rFonts w:ascii="黑体" w:eastAsia="黑体"/>
          <w:color w:val="000000"/>
          <w:sz w:val="32"/>
          <w:szCs w:val="32"/>
        </w:rPr>
      </w:pPr>
      <w:r>
        <w:rPr>
          <w:rFonts w:ascii="黑体" w:eastAsia="黑体" w:hint="eastAsia"/>
          <w:bCs/>
          <w:color w:val="000000"/>
          <w:sz w:val="32"/>
          <w:szCs w:val="32"/>
        </w:rPr>
        <w:t>八</w:t>
      </w:r>
      <w:r>
        <w:rPr>
          <w:rFonts w:ascii="黑体" w:eastAsia="黑体"/>
          <w:bCs/>
          <w:color w:val="000000"/>
          <w:sz w:val="32"/>
          <w:szCs w:val="32"/>
        </w:rPr>
        <w:t>、其他重要事项情况说明</w:t>
      </w:r>
    </w:p>
    <w:p>
      <w:pPr>
        <w:spacing w:line="576" w:lineRule="exact"/>
        <w:ind w:firstLineChars="200" w:firstLine="640"/>
        <w:rPr>
          <w:rFonts w:ascii="楷体" w:eastAsia="楷体"/>
          <w:color w:val="000000"/>
          <w:sz w:val="32"/>
          <w:szCs w:val="32"/>
        </w:rPr>
      </w:pPr>
      <w:r>
        <w:rPr>
          <w:rFonts w:ascii="楷体" w:eastAsia="楷体"/>
          <w:color w:val="000000"/>
          <w:sz w:val="32"/>
          <w:szCs w:val="32"/>
        </w:rPr>
        <w:t>(二)政府采购安排情况</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2023年</w:t>
      </w:r>
      <w:r>
        <w:rPr>
          <w:rFonts w:ascii="仿宋" w:eastAsia="仿宋"/>
          <w:color w:val="000000"/>
          <w:sz w:val="32"/>
          <w:szCs w:val="32"/>
        </w:rPr>
        <w:t>本部门（单位）政府采购预算总额299.03万元，其中：政府采购货物预算269.03万元，政府采购服务预算30万元。</w:t>
      </w:r>
    </w:p>
    <w:p>
      <w:pPr>
        <w:spacing w:line="576" w:lineRule="exact"/>
        <w:ind w:firstLineChars="200" w:firstLine="640"/>
        <w:rPr>
          <w:rFonts w:ascii="楷体" w:eastAsia="楷体"/>
          <w:color w:val="000000"/>
          <w:sz w:val="32"/>
          <w:szCs w:val="32"/>
        </w:rPr>
      </w:pPr>
      <w:r>
        <w:rPr>
          <w:rFonts w:ascii="楷体" w:eastAsia="楷体"/>
          <w:color w:val="000000"/>
          <w:sz w:val="32"/>
          <w:szCs w:val="32"/>
        </w:rPr>
        <w:t>(三)国有资产占用情况</w:t>
      </w:r>
    </w:p>
    <w:p>
      <w:pPr>
        <w:spacing w:line="576" w:lineRule="exact"/>
        <w:ind w:firstLineChars="200" w:firstLine="640"/>
        <w:rPr>
          <w:rFonts w:ascii="仿宋" w:eastAsia="仿宋"/>
          <w:color w:val="000000"/>
          <w:sz w:val="32"/>
          <w:szCs w:val="32"/>
        </w:rPr>
      </w:pPr>
      <w:r>
        <w:rPr>
          <w:rFonts w:ascii="仿宋" w:eastAsia="仿宋"/>
          <w:color w:val="000000"/>
          <w:sz w:val="32"/>
          <w:szCs w:val="32"/>
        </w:rPr>
        <w:t>上年末固定资产金额为</w:t>
      </w:r>
      <w:r>
        <w:rPr>
          <w:rFonts w:ascii="仿宋" w:eastAsia="仿宋" w:hint="eastAsia"/>
          <w:color w:val="000000"/>
          <w:sz w:val="32"/>
          <w:szCs w:val="32"/>
        </w:rPr>
        <w:t>4630.92</w:t>
      </w:r>
      <w:r>
        <w:rPr>
          <w:rFonts w:ascii="仿宋" w:eastAsia="仿宋"/>
          <w:color w:val="000000"/>
          <w:sz w:val="32"/>
          <w:szCs w:val="32"/>
        </w:rPr>
        <w:t>万元,其中：</w:t>
      </w:r>
      <w:r>
        <w:rPr>
          <w:rFonts w:ascii="仿宋" w:eastAsia="仿宋" w:hint="eastAsia"/>
          <w:color w:val="000000"/>
          <w:sz w:val="32"/>
          <w:szCs w:val="32"/>
        </w:rPr>
        <w:t>房屋及构筑物3558.31万元，通用设备566.46万元，专用设备101.64万元，文物和陈列物0万元，图书63.04万元，家具用具333.96万元。无形资产7.52万元</w:t>
      </w:r>
      <w:r>
        <w:rPr>
          <w:rFonts w:ascii="仿宋" w:eastAsia="仿宋"/>
          <w:color w:val="000000"/>
          <w:sz w:val="32"/>
          <w:szCs w:val="32"/>
        </w:rPr>
        <w:t>。</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202</w:t>
      </w:r>
      <w:r>
        <w:rPr>
          <w:rFonts w:ascii="仿宋" w:eastAsia="仿宋"/>
          <w:color w:val="000000"/>
          <w:sz w:val="32"/>
          <w:szCs w:val="32"/>
        </w:rPr>
        <w:t>3年拟采购固定资产约269.03万元，主要包括：LED显示屏、无机化学顶装创新实验室、生物数码互动实验室、物理数字实验室、会议桌、办公桌椅人体工学椅、台式机、一体打印机</w:t>
      </w:r>
      <w:r>
        <w:rPr>
          <w:rFonts w:ascii="仿宋" w:eastAsia="仿宋" w:hint="eastAsia"/>
          <w:color w:val="000000"/>
          <w:sz w:val="32"/>
          <w:szCs w:val="32"/>
        </w:rPr>
        <w:t>等。</w:t>
      </w:r>
    </w:p>
    <w:p>
      <w:pPr>
        <w:spacing w:line="576" w:lineRule="exact"/>
        <w:ind w:firstLineChars="200" w:firstLine="640"/>
        <w:rPr>
          <w:rFonts w:ascii="楷体" w:eastAsia="楷体"/>
          <w:color w:val="000000"/>
          <w:sz w:val="32"/>
          <w:szCs w:val="32"/>
        </w:rPr>
      </w:pPr>
      <w:r>
        <w:rPr>
          <w:rFonts w:ascii="楷体" w:eastAsia="楷体"/>
          <w:color w:val="000000"/>
          <w:sz w:val="32"/>
          <w:szCs w:val="32"/>
        </w:rPr>
        <w:t>（四）预算绩效情况</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我校202</w:t>
      </w:r>
      <w:r>
        <w:rPr>
          <w:rFonts w:ascii="仿宋" w:eastAsia="仿宋"/>
          <w:color w:val="000000"/>
          <w:sz w:val="32"/>
          <w:szCs w:val="32"/>
        </w:rPr>
        <w:t>3</w:t>
      </w:r>
      <w:r>
        <w:rPr>
          <w:rFonts w:ascii="仿宋" w:eastAsia="仿宋" w:hint="eastAsia"/>
          <w:color w:val="000000"/>
          <w:sz w:val="32"/>
          <w:szCs w:val="32"/>
        </w:rPr>
        <w:t>年人员经费预算纳入绩效管理,对此项目的预算绩效具体目标进行细化、量化，并经县财政局审核通过。在202</w:t>
      </w:r>
      <w:r>
        <w:rPr>
          <w:rFonts w:ascii="仿宋" w:eastAsia="仿宋"/>
          <w:color w:val="000000"/>
          <w:sz w:val="32"/>
          <w:szCs w:val="32"/>
        </w:rPr>
        <w:t>3</w:t>
      </w:r>
      <w:r>
        <w:rPr>
          <w:rFonts w:ascii="仿宋" w:eastAsia="仿宋" w:hint="eastAsia"/>
          <w:color w:val="000000"/>
          <w:sz w:val="32"/>
          <w:szCs w:val="32"/>
        </w:rPr>
        <w:t>年预算执行过程中，我校将按照绩效目标的各项指标严格执行，并从严做好绩效目标的执行；待202</w:t>
      </w:r>
      <w:r>
        <w:rPr>
          <w:rFonts w:ascii="仿宋" w:eastAsia="仿宋"/>
          <w:color w:val="000000"/>
          <w:sz w:val="32"/>
          <w:szCs w:val="32"/>
        </w:rPr>
        <w:t>3</w:t>
      </w:r>
      <w:r>
        <w:rPr>
          <w:rFonts w:ascii="仿宋" w:eastAsia="仿宋" w:hint="eastAsia"/>
          <w:color w:val="000000"/>
          <w:sz w:val="32"/>
          <w:szCs w:val="32"/>
        </w:rPr>
        <w:t>年预算执行完毕后，我校将对照绩效目标进行自查，并对绩效目标完成情况作出评价。</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本单位2023年</w:t>
      </w:r>
      <w:r>
        <w:rPr>
          <w:rFonts w:ascii="仿宋" w:eastAsia="仿宋"/>
          <w:color w:val="000000"/>
          <w:sz w:val="32"/>
          <w:szCs w:val="32"/>
        </w:rPr>
        <w:t>预算中没有实行绩效目标管理的项目。</w:t>
      </w:r>
    </w:p>
    <w:p>
      <w:pPr>
        <w:spacing w:line="576" w:lineRule="exact"/>
        <w:ind w:firstLineChars="200" w:firstLine="640"/>
        <w:rPr>
          <w:rFonts w:ascii="黑体" w:eastAsia="黑体"/>
          <w:bCs/>
          <w:color w:val="000000"/>
          <w:sz w:val="32"/>
          <w:szCs w:val="32"/>
        </w:rPr>
      </w:pPr>
      <w:r>
        <w:rPr>
          <w:rFonts w:ascii="黑体" w:eastAsia="黑体" w:hint="eastAsia"/>
          <w:bCs/>
          <w:color w:val="000000"/>
          <w:sz w:val="32"/>
          <w:szCs w:val="32"/>
        </w:rPr>
        <w:t>九</w:t>
      </w:r>
      <w:r>
        <w:rPr>
          <w:rFonts w:ascii="黑体" w:eastAsia="黑体"/>
          <w:bCs/>
          <w:color w:val="000000"/>
          <w:sz w:val="32"/>
          <w:szCs w:val="32"/>
        </w:rPr>
        <w:t>、名词解释</w:t>
      </w:r>
    </w:p>
    <w:p>
      <w:pPr>
        <w:spacing w:line="576" w:lineRule="exact"/>
        <w:ind w:firstLineChars="200" w:firstLine="640"/>
        <w:rPr>
          <w:rFonts w:ascii="仿宋" w:eastAsia="仿宋"/>
          <w:color w:val="000000"/>
          <w:sz w:val="32"/>
          <w:szCs w:val="32"/>
        </w:rPr>
      </w:pPr>
      <w:r>
        <w:rPr>
          <w:rFonts w:ascii="仿宋" w:eastAsia="仿宋"/>
          <w:color w:val="000000"/>
          <w:sz w:val="32"/>
          <w:szCs w:val="32"/>
        </w:rPr>
        <w:t>财政拨款收入：指县级财政当年拨付的资金。</w:t>
      </w:r>
    </w:p>
    <w:p>
      <w:pPr>
        <w:spacing w:line="576" w:lineRule="exact"/>
        <w:ind w:firstLineChars="200" w:firstLine="640"/>
        <w:rPr>
          <w:rFonts w:ascii="仿宋" w:eastAsia="仿宋"/>
          <w:color w:val="000000"/>
          <w:sz w:val="32"/>
          <w:szCs w:val="32"/>
        </w:rPr>
      </w:pPr>
      <w:r>
        <w:rPr>
          <w:rFonts w:ascii="仿宋" w:eastAsia="仿宋"/>
          <w:color w:val="000000"/>
          <w:sz w:val="32"/>
          <w:szCs w:val="32"/>
        </w:rPr>
        <w:t>上年结转和结余：指以前年度尚未完成，结转到本年度按有关规定继续使用的资金。</w:t>
      </w:r>
    </w:p>
    <w:p>
      <w:pPr>
        <w:spacing w:line="576" w:lineRule="exact"/>
        <w:ind w:firstLineChars="200" w:firstLine="640"/>
        <w:rPr>
          <w:rFonts w:ascii="仿宋" w:eastAsia="仿宋"/>
          <w:color w:val="000000"/>
          <w:sz w:val="32"/>
          <w:szCs w:val="32"/>
        </w:rPr>
      </w:pPr>
      <w:r>
        <w:rPr>
          <w:rFonts w:ascii="仿宋" w:eastAsia="仿宋"/>
          <w:color w:val="000000"/>
          <w:sz w:val="32"/>
          <w:szCs w:val="32"/>
        </w:rPr>
        <w:t>一般公共服务：指县财政局用于保障机构正常运行、开展财政管理活动的支出。</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工资福利支出：反映单位开支的在职职工和编制外长期聘用人员的各类劳动报酬，以及为上述人员缴纳的各项社会保险费等。</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商品和服务支出：反映单位购买商品和服务的支出（不包括用于购置固定资产的支出、战略性和应急储备支出，但军事方面的耐用消费品和设备的购置费、军事性建设费以及军事建筑物的购置费等在本科目中反映）。</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对个人和家庭的补助：反映政府用于对个人和家庭的补助支出。</w:t>
      </w:r>
    </w:p>
    <w:p>
      <w:pPr>
        <w:spacing w:line="576" w:lineRule="exact"/>
        <w:ind w:firstLineChars="200" w:firstLine="640"/>
        <w:rPr>
          <w:rFonts w:ascii="仿宋" w:eastAsia="仿宋"/>
          <w:color w:val="000000"/>
          <w:sz w:val="32"/>
          <w:szCs w:val="32"/>
        </w:rPr>
      </w:pPr>
      <w:r>
        <w:rPr>
          <w:rFonts w:ascii="仿宋" w:eastAsia="仿宋"/>
          <w:color w:val="000000"/>
          <w:sz w:val="32"/>
          <w:szCs w:val="32"/>
        </w:rPr>
        <w:t>社会保障和就业：指县财政局用于离退休人员的经费。</w:t>
      </w:r>
    </w:p>
    <w:p>
      <w:pPr>
        <w:spacing w:line="576" w:lineRule="exact"/>
        <w:ind w:firstLineChars="200" w:firstLine="640"/>
        <w:rPr>
          <w:rFonts w:ascii="仿宋" w:eastAsia="仿宋"/>
          <w:color w:val="000000"/>
          <w:sz w:val="32"/>
          <w:szCs w:val="32"/>
        </w:rPr>
      </w:pPr>
      <w:r>
        <w:rPr>
          <w:rFonts w:ascii="仿宋" w:eastAsia="仿宋"/>
          <w:color w:val="000000"/>
          <w:sz w:val="32"/>
          <w:szCs w:val="32"/>
        </w:rPr>
        <w:t>住房公积金：指按照国家统一规定，依据确定的比例为在职职工缴存的长期住房储金。</w:t>
      </w:r>
    </w:p>
    <w:p>
      <w:pPr>
        <w:spacing w:line="576" w:lineRule="exact"/>
        <w:ind w:firstLineChars="200" w:firstLine="640"/>
        <w:rPr>
          <w:rFonts w:ascii="仿宋" w:eastAsia="仿宋"/>
          <w:color w:val="000000"/>
          <w:sz w:val="32"/>
          <w:szCs w:val="32"/>
        </w:rPr>
      </w:pPr>
      <w:r>
        <w:rPr>
          <w:rFonts w:ascii="仿宋" w:eastAsia="仿宋"/>
          <w:color w:val="000000"/>
          <w:sz w:val="32"/>
          <w:szCs w:val="32"/>
        </w:rPr>
        <w:t>基本支出：指为保障机构正常运转、完成日常工作任务而发生的人员支出和公用支出。</w:t>
      </w:r>
    </w:p>
    <w:p>
      <w:pPr>
        <w:spacing w:line="576" w:lineRule="exact"/>
        <w:ind w:firstLineChars="200" w:firstLine="640"/>
        <w:rPr>
          <w:rFonts w:ascii="仿宋" w:eastAsia="仿宋"/>
          <w:color w:val="000000"/>
          <w:sz w:val="32"/>
          <w:szCs w:val="32"/>
        </w:rPr>
      </w:pPr>
      <w:r>
        <w:rPr>
          <w:rFonts w:ascii="仿宋" w:eastAsia="仿宋"/>
          <w:color w:val="000000"/>
          <w:sz w:val="32"/>
          <w:szCs w:val="32"/>
        </w:rPr>
        <w:t>项目支出：指在基本支出之外为完成特定行政任务和事业发展目标所发生的支出。</w:t>
      </w:r>
    </w:p>
    <w:p>
      <w:pPr>
        <w:spacing w:line="576" w:lineRule="exact"/>
        <w:ind w:firstLineChars="200" w:firstLine="640"/>
        <w:rPr>
          <w:rFonts w:ascii="仿宋" w:eastAsia="仿宋"/>
          <w:color w:val="000000"/>
          <w:sz w:val="32"/>
          <w:szCs w:val="32"/>
        </w:rPr>
      </w:pPr>
      <w:r>
        <w:rPr>
          <w:rFonts w:ascii="仿宋" w:eastAsia="仿宋"/>
          <w:color w:val="000000"/>
          <w:sz w:val="32"/>
          <w:szCs w:val="32"/>
        </w:rPr>
        <w:t>三公经费：是指县级部门用财政拨款安排的因公出国（境）费，公务用车购置及运行费和公务接待费。</w:t>
      </w:r>
    </w:p>
    <w:p>
      <w:pPr>
        <w:spacing w:line="576" w:lineRule="exact"/>
        <w:ind w:firstLineChars="200" w:firstLine="640"/>
        <w:rPr>
          <w:rFonts w:ascii="仿宋" w:eastAsia="仿宋"/>
          <w:color w:val="000000"/>
          <w:sz w:val="32"/>
          <w:szCs w:val="32"/>
        </w:rPr>
      </w:pPr>
      <w:r>
        <w:rPr>
          <w:rFonts w:ascii="仿宋" w:eastAsia="仿宋"/>
          <w:color w:val="000000"/>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会议费：反映单位在会议期间按规定开支的住宿费、伙食费、会议室租金、交通费、文件印刷费、医药费等支出。</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培训费：反映因公出国（境）培训费以外的各类培训支出。</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因公出国（境）费：反映单位公务出国（境）的国际旅费、国外城市间交通费、住宿费、伙食费、培训费、公杂费等支出。</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公务接待费：反映单位按规定开支的各类公务接待（含外宾接待）支出。</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公务用车购置费：反映公务用车车辆购置支出（含车辆购置税）。</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 xml:space="preserve">公务用车运行维护费：反映单位按规定保留的公务用车租用费、燃料费、维修费、过路过桥费、保险费、安全奖励费用等支出。   </w:t>
      </w:r>
    </w:p>
    <w:p>
      <w:pPr>
        <w:spacing w:line="576" w:lineRule="exact"/>
        <w:ind w:firstLineChars="200" w:firstLine="640"/>
        <w:rPr>
          <w:rFonts w:ascii="仿宋" w:eastAsia="仿宋"/>
          <w:color w:val="000000"/>
          <w:sz w:val="32"/>
          <w:szCs w:val="32"/>
        </w:rPr>
      </w:pPr>
      <w:r>
        <w:rPr>
          <w:rFonts w:ascii="仿宋" w:eastAsia="仿宋" w:hint="eastAsia"/>
          <w:color w:val="000000"/>
          <w:sz w:val="32"/>
          <w:szCs w:val="32"/>
        </w:rPr>
        <w:t xml:space="preserve"> </w:t>
      </w:r>
    </w:p>
    <w:p>
      <w:pPr>
        <w:spacing w:line="576" w:lineRule="exact"/>
        <w:rPr>
          <w:rFonts w:ascii="仿宋_GB2312" w:eastAsia="仿宋_GB2312"/>
          <w:color w:val="000000"/>
          <w:sz w:val="32"/>
          <w:szCs w:val="32"/>
        </w:rPr>
      </w:pPr>
      <w:r>
        <w:rPr>
          <w:rFonts w:ascii="仿宋" w:eastAsia="仿宋" w:hint="eastAsia"/>
          <w:color w:val="000000"/>
          <w:sz w:val="32"/>
          <w:szCs w:val="32"/>
        </w:rPr>
        <w:t xml:space="preserve">   </w:t>
      </w:r>
      <w:r>
        <w:rPr>
          <w:rFonts w:ascii="仿宋_GB2312" w:eastAsia="仿宋_GB2312" w:hint="eastAsia"/>
          <w:color w:val="000000"/>
          <w:sz w:val="32"/>
          <w:szCs w:val="32"/>
        </w:rPr>
        <w:t xml:space="preserve"> 附件:2023年部门预算表及支出绩效目标表</w:t>
      </w:r>
    </w:p>
    <w:sectPr>
      <w:pgSz w:w="11906" w:h="16838"/>
      <w:pgMar w:top="1985" w:right="1134" w:bottom="1134" w:left="1134"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楷体_GB2312">
    <w:altName w:val="楷体"/>
    <w:panose1 w:val="02010609030101010101"/>
    <w:charset w:val="86"/>
    <w:family w:val="modern"/>
    <w:pitch w:val="variable"/>
    <w:sig w:usb0="00000001" w:usb1="080E0000" w:usb2="00000010" w:usb3="00000000" w:csb0="00040000" w:csb1="00000000"/>
  </w:font>
  <w:font w:name="仿宋">
    <w:panose1 w:val="02010609060101010101"/>
    <w:charset w:val="86"/>
    <w:family w:val="modern"/>
    <w:pitch w:val="variable"/>
    <w:sig w:usb0="800002BF" w:usb1="38CF7CFA" w:usb2="00000016" w:usb3="00000000" w:csb0="00040001" w:csb1="00000000"/>
  </w:font>
  <w:font w:name="楷体">
    <w:altName w:val="汉仪楷体KW"/>
    <w:panose1 w:val="02010609060101010101"/>
    <w:charset w:val="86"/>
    <w:family w:val="modern"/>
    <w:pitch w:val="variable"/>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auto"/>
    <w:pitch w:val="variable"/>
    <w:sig w:usb0="00007A87" w:usb1="80000000" w:usb2="00000008"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szCs w:val="18"/>
    </w:rPr>
  </w:style>
  <w:style w:type="paragraph" w:styleId="16">
    <w:name w:val="header"/>
    <w:basedOn w:val="0"/>
    <w:pPr>
      <w:pBdr>
        <w:bottom w:val="single" w:sz="6" w:space="1" w:color="auto"/>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231</TotalTime>
  <Application>Yozo_Office</Application>
  <Pages>6</Pages>
  <Words>2446</Words>
  <Characters>2655</Characters>
  <Lines>124</Lines>
  <Paragraphs>68</Paragraphs>
  <CharactersWithSpaces>2683</CharactersWithSpaces>
  <Company>China</Company>
</Properties>
</file>

<file path=docProps/core.xml><?xml version="1.0" encoding="utf-8"?>
<cp:coreProperties xmlns:cp="http://schemas.openxmlformats.org/package/2006/metadata/core-properties" xmlns:dc="http://purl.org/dc/elements/1.1/" xmlns:dcterms="http://purl.org/dc/terms/" xmlns:xsi="http://www.w3.org/2001/XMLSchema-instance">
  <dc:creator>User</dc:creator>
  <cp:lastModifiedBy>Microsoft</cp:lastModifiedBy>
  <cp:revision>9</cp:revision>
  <cp:lastPrinted>2020-03-30T10:34:00Z</cp:lastPrinted>
  <dcterms:created xsi:type="dcterms:W3CDTF">2019-04-25T09:03:00Z</dcterms:created>
  <dcterms:modified xsi:type="dcterms:W3CDTF">2023-01-07T03:03:09Z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2052-0.0.0.0</vt:lpwstr>
  </property>
</Properties>
</file>