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仿宋_GB2312" w:eastAsia="仿宋_GB2312"/>
          <w:sz w:val="32"/>
          <w:szCs w:val="32"/>
        </w:rPr>
      </w:pPr>
      <w:r>
        <w:rPr>
          <w:rFonts w:hint="eastAsia" w:ascii="仿宋_GB2312" w:eastAsia="仿宋_GB2312"/>
          <w:sz w:val="32"/>
          <w:szCs w:val="32"/>
        </w:rPr>
        <w:t>附件6</w:t>
      </w:r>
    </w:p>
    <w:p>
      <w:pPr>
        <w:jc w:val="center"/>
        <w:rPr>
          <w:rFonts w:ascii="方正小标宋简体" w:eastAsia="方正小标宋简体"/>
          <w:sz w:val="40"/>
          <w:szCs w:val="40"/>
        </w:rPr>
      </w:pPr>
      <w:r>
        <w:rPr>
          <w:rFonts w:hint="eastAsia" w:ascii="方正小标宋简体" w:eastAsia="方正小标宋简体"/>
          <w:sz w:val="40"/>
          <w:szCs w:val="40"/>
          <w:lang w:val="en-US" w:eastAsia="zh-CN"/>
        </w:rPr>
        <w:t>山丹培黎图书馆</w:t>
      </w:r>
      <w:r>
        <w:rPr>
          <w:rFonts w:hint="eastAsia" w:ascii="方正小标宋简体" w:eastAsia="方正小标宋简体"/>
          <w:sz w:val="40"/>
          <w:szCs w:val="40"/>
        </w:rPr>
        <w:t>整体支出绩效自评报告</w:t>
      </w:r>
    </w:p>
    <w:p>
      <w:pPr>
        <w:spacing w:line="560" w:lineRule="exact"/>
        <w:ind w:firstLine="640" w:firstLineChars="200"/>
        <w:rPr>
          <w:rFonts w:hint="eastAsia" w:ascii="黑体" w:hAnsi="黑体" w:eastAsia="黑体"/>
          <w:sz w:val="32"/>
          <w:szCs w:val="32"/>
        </w:rPr>
      </w:pPr>
    </w:p>
    <w:p>
      <w:pPr>
        <w:spacing w:line="560" w:lineRule="exact"/>
        <w:ind w:firstLine="640" w:firstLineChars="200"/>
        <w:rPr>
          <w:rFonts w:ascii="黑体" w:hAnsi="黑体" w:eastAsia="黑体"/>
          <w:sz w:val="32"/>
          <w:szCs w:val="32"/>
        </w:rPr>
      </w:pPr>
      <w:r>
        <w:rPr>
          <w:rFonts w:hint="eastAsia" w:ascii="黑体" w:hAnsi="黑体" w:eastAsia="黑体"/>
          <w:sz w:val="32"/>
          <w:szCs w:val="32"/>
        </w:rPr>
        <w:t>一、部门概况</w:t>
      </w:r>
    </w:p>
    <w:p>
      <w:pPr>
        <w:spacing w:line="560" w:lineRule="exact"/>
        <w:ind w:firstLine="643" w:firstLineChars="200"/>
        <w:rPr>
          <w:rFonts w:ascii="楷体_GB2312" w:hAnsi="黑体" w:eastAsia="楷体_GB2312"/>
          <w:b/>
          <w:sz w:val="32"/>
          <w:szCs w:val="32"/>
        </w:rPr>
      </w:pPr>
      <w:r>
        <w:rPr>
          <w:rFonts w:hint="eastAsia" w:ascii="楷体_GB2312" w:hAnsi="黑体" w:eastAsia="楷体_GB2312"/>
          <w:b/>
          <w:sz w:val="32"/>
          <w:szCs w:val="32"/>
        </w:rPr>
        <w:t>（一）基本情况</w:t>
      </w:r>
    </w:p>
    <w:p>
      <w:pPr>
        <w:spacing w:line="560" w:lineRule="exact"/>
        <w:ind w:firstLine="640" w:firstLineChars="200"/>
        <w:rPr>
          <w:rFonts w:hint="eastAsia" w:ascii="仿宋_GB2312" w:eastAsia="仿宋_GB2312"/>
          <w:sz w:val="32"/>
          <w:szCs w:val="32"/>
        </w:rPr>
      </w:pPr>
      <w:r>
        <w:rPr>
          <w:rFonts w:hint="eastAsia" w:ascii="仿宋_GB2312" w:eastAsia="仿宋_GB2312"/>
          <w:sz w:val="32"/>
          <w:szCs w:val="32"/>
        </w:rPr>
        <w:t>1.单位基本情况</w:t>
      </w:r>
    </w:p>
    <w:p>
      <w:pPr>
        <w:numPr>
          <w:ilvl w:val="0"/>
          <w:numId w:val="0"/>
        </w:numPr>
        <w:spacing w:line="560" w:lineRule="exact"/>
        <w:ind w:firstLine="640" w:firstLineChars="200"/>
        <w:rPr>
          <w:rFonts w:hint="eastAsia" w:ascii="仿宋_GB2312" w:eastAsia="仿宋_GB2312"/>
          <w:sz w:val="32"/>
          <w:szCs w:val="32"/>
        </w:rPr>
      </w:pPr>
      <w:r>
        <w:rPr>
          <w:rFonts w:hint="eastAsia" w:ascii="仿宋_GB2312" w:eastAsia="仿宋_GB2312"/>
          <w:sz w:val="32"/>
          <w:szCs w:val="32"/>
          <w:lang w:val="en-US" w:eastAsia="zh-CN"/>
        </w:rPr>
        <w:t>山丹培黎图书馆是在路易·艾黎的倡导下于1983年建成，位于山丹县文化街，占地面积4000平方米。我馆现有干部职工8人，隶属于山丹县文体广电和旅游局，图书馆全年开馆，节假日正常借阅，现有馆藏图书14.6万册。其中艾黎捐赠图书2469册、古籍1612册、地方文献2000多册，少儿连环画3000多册、被评定为国家“三级图书馆”。经过本年升级改造提升后我馆全面实现自助借还。</w:t>
      </w:r>
    </w:p>
    <w:p>
      <w:pPr>
        <w:numPr>
          <w:ilvl w:val="0"/>
          <w:numId w:val="0"/>
        </w:numPr>
        <w:spacing w:line="560" w:lineRule="exact"/>
        <w:ind w:firstLine="640" w:firstLineChars="200"/>
        <w:rPr>
          <w:rFonts w:hint="eastAsia" w:ascii="仿宋_GB2312" w:eastAsia="仿宋_GB2312"/>
          <w:sz w:val="32"/>
          <w:szCs w:val="32"/>
        </w:rPr>
      </w:pPr>
      <w:r>
        <w:rPr>
          <w:rFonts w:hint="eastAsia" w:ascii="仿宋_GB2312" w:eastAsia="仿宋_GB2312"/>
          <w:sz w:val="32"/>
          <w:szCs w:val="32"/>
          <w:lang w:val="en-US" w:eastAsia="zh-CN"/>
        </w:rPr>
        <w:t>2、</w:t>
      </w:r>
      <w:r>
        <w:rPr>
          <w:rFonts w:hint="eastAsia" w:ascii="仿宋_GB2312" w:eastAsia="仿宋_GB2312"/>
          <w:sz w:val="32"/>
          <w:szCs w:val="32"/>
        </w:rPr>
        <w:t>单位职能职责</w:t>
      </w:r>
    </w:p>
    <w:p>
      <w:pPr>
        <w:numPr>
          <w:ilvl w:val="0"/>
          <w:numId w:val="0"/>
        </w:numPr>
        <w:spacing w:line="560" w:lineRule="exact"/>
        <w:rPr>
          <w:rFonts w:hint="default" w:ascii="仿宋_GB2312" w:eastAsia="仿宋_GB2312"/>
          <w:sz w:val="32"/>
          <w:szCs w:val="32"/>
          <w:lang w:val="en-US" w:eastAsia="zh-CN"/>
        </w:rPr>
      </w:pPr>
      <w:r>
        <w:rPr>
          <w:rFonts w:hint="eastAsia" w:ascii="仿宋_GB2312" w:eastAsia="仿宋_GB2312"/>
          <w:sz w:val="32"/>
          <w:szCs w:val="32"/>
          <w:lang w:val="en-US" w:eastAsia="zh-CN"/>
        </w:rPr>
        <w:t xml:space="preserve">    保存借阅资料，促进社会经济文化发展，图书，文献，报刊采编与储存，图书资料的借阅。</w:t>
      </w:r>
    </w:p>
    <w:p>
      <w:pPr>
        <w:numPr>
          <w:ilvl w:val="0"/>
          <w:numId w:val="1"/>
        </w:numPr>
        <w:spacing w:line="560" w:lineRule="exact"/>
        <w:ind w:firstLine="643" w:firstLineChars="200"/>
        <w:rPr>
          <w:rFonts w:hint="eastAsia" w:ascii="楷体_GB2312" w:hAnsi="黑体" w:eastAsia="楷体_GB2312"/>
          <w:b/>
          <w:sz w:val="32"/>
          <w:szCs w:val="32"/>
        </w:rPr>
      </w:pPr>
      <w:r>
        <w:rPr>
          <w:rFonts w:hint="eastAsia" w:ascii="楷体_GB2312" w:hAnsi="黑体" w:eastAsia="楷体_GB2312"/>
          <w:b/>
          <w:sz w:val="32"/>
          <w:szCs w:val="32"/>
        </w:rPr>
        <w:t>年度重点工作</w:t>
      </w:r>
    </w:p>
    <w:p>
      <w:pPr>
        <w:numPr>
          <w:ilvl w:val="0"/>
          <w:numId w:val="0"/>
        </w:numPr>
        <w:spacing w:line="560" w:lineRule="exact"/>
        <w:ind w:firstLine="640" w:firstLineChars="200"/>
        <w:rPr>
          <w:rFonts w:hint="default" w:ascii="仿宋_GB2312" w:eastAsia="仿宋_GB2312"/>
          <w:sz w:val="32"/>
          <w:szCs w:val="32"/>
          <w:lang w:val="en-US" w:eastAsia="zh-CN"/>
        </w:rPr>
      </w:pPr>
      <w:r>
        <w:rPr>
          <w:rFonts w:hint="eastAsia" w:ascii="仿宋_GB2312" w:eastAsia="仿宋_GB2312"/>
          <w:sz w:val="32"/>
          <w:szCs w:val="32"/>
          <w:lang w:val="en-US" w:eastAsia="zh-CN"/>
        </w:rPr>
        <w:t>1、扩大阅读宣传活动，提高阅读服务水平，购置图书5000册以上，。</w:t>
      </w:r>
    </w:p>
    <w:p>
      <w:pPr>
        <w:numPr>
          <w:ilvl w:val="0"/>
          <w:numId w:val="0"/>
        </w:numPr>
        <w:spacing w:line="560" w:lineRule="exact"/>
        <w:ind w:firstLine="640" w:firstLineChars="200"/>
        <w:rPr>
          <w:rFonts w:hint="default" w:ascii="仿宋_GB2312" w:eastAsia="仿宋_GB2312"/>
          <w:sz w:val="32"/>
          <w:szCs w:val="32"/>
          <w:lang w:val="en-US" w:eastAsia="zh-CN"/>
        </w:rPr>
      </w:pPr>
      <w:r>
        <w:rPr>
          <w:rFonts w:hint="eastAsia" w:ascii="仿宋_GB2312" w:eastAsia="仿宋_GB2312"/>
          <w:sz w:val="32"/>
          <w:szCs w:val="32"/>
          <w:lang w:val="en-US" w:eastAsia="zh-CN"/>
        </w:rPr>
        <w:t>2、完成视频资源10集的拍摄内容，并组织评审小组对该项目进行单位自行验收。</w:t>
      </w:r>
    </w:p>
    <w:p>
      <w:pPr>
        <w:numPr>
          <w:ilvl w:val="0"/>
          <w:numId w:val="0"/>
        </w:numPr>
        <w:spacing w:line="560" w:lineRule="exact"/>
        <w:ind w:firstLine="640" w:firstLineChars="200"/>
        <w:rPr>
          <w:rFonts w:hint="default" w:ascii="仿宋_GB2312" w:eastAsia="仿宋_GB2312"/>
          <w:sz w:val="32"/>
          <w:szCs w:val="32"/>
          <w:lang w:val="en-US" w:eastAsia="zh-CN"/>
        </w:rPr>
      </w:pPr>
      <w:r>
        <w:rPr>
          <w:rFonts w:hint="eastAsia" w:ascii="仿宋_GB2312" w:eastAsia="仿宋_GB2312"/>
          <w:sz w:val="32"/>
          <w:szCs w:val="32"/>
          <w:lang w:val="en-US" w:eastAsia="zh-CN"/>
        </w:rPr>
        <w:t>3、提升阅读环境舒适度，</w:t>
      </w:r>
      <w:r>
        <w:rPr>
          <w:rFonts w:hint="eastAsia" w:ascii="仿宋" w:hAnsi="仿宋" w:eastAsia="仿宋" w:cs="仿宋_GB2312"/>
          <w:sz w:val="32"/>
          <w:szCs w:val="32"/>
          <w:lang w:val="en-US" w:eastAsia="zh-CN"/>
        </w:rPr>
        <w:t>最大限度的为读者提供方便、快捷、高效、安全的借阅服务</w:t>
      </w:r>
      <w:r>
        <w:rPr>
          <w:rFonts w:hint="eastAsia" w:ascii="仿宋_GB2312" w:eastAsia="仿宋_GB2312"/>
          <w:sz w:val="32"/>
          <w:szCs w:val="32"/>
          <w:lang w:val="en-US" w:eastAsia="zh-CN"/>
        </w:rPr>
        <w:t>。</w:t>
      </w:r>
    </w:p>
    <w:p>
      <w:pPr>
        <w:spacing w:line="560" w:lineRule="exact"/>
        <w:ind w:firstLine="643" w:firstLineChars="200"/>
        <w:rPr>
          <w:rFonts w:ascii="楷体_GB2312" w:hAnsi="黑体" w:eastAsia="楷体_GB2312"/>
          <w:b/>
          <w:sz w:val="32"/>
          <w:szCs w:val="32"/>
        </w:rPr>
      </w:pPr>
      <w:r>
        <w:rPr>
          <w:rFonts w:hint="eastAsia" w:ascii="楷体_GB2312" w:hAnsi="黑体" w:eastAsia="楷体_GB2312"/>
          <w:b/>
          <w:sz w:val="32"/>
          <w:szCs w:val="32"/>
        </w:rPr>
        <w:t>（三）整体收支情况</w:t>
      </w:r>
    </w:p>
    <w:p>
      <w:pPr>
        <w:spacing w:line="560" w:lineRule="exact"/>
        <w:ind w:firstLine="640" w:firstLineChars="200"/>
        <w:rPr>
          <w:rFonts w:hint="eastAsia" w:ascii="仿宋_GB2312" w:eastAsia="仿宋_GB2312"/>
          <w:sz w:val="32"/>
          <w:szCs w:val="32"/>
        </w:rPr>
      </w:pPr>
      <w:r>
        <w:rPr>
          <w:rFonts w:hint="eastAsia" w:ascii="仿宋_GB2312" w:eastAsia="仿宋_GB2312"/>
          <w:sz w:val="32"/>
          <w:szCs w:val="32"/>
        </w:rPr>
        <w:t>1.收入决算情况：</w:t>
      </w:r>
    </w:p>
    <w:p>
      <w:pPr>
        <w:spacing w:line="560" w:lineRule="exact"/>
        <w:ind w:firstLine="640" w:firstLineChars="200"/>
        <w:rPr>
          <w:rFonts w:hint="default" w:ascii="仿宋_GB2312" w:eastAsia="仿宋_GB2312"/>
          <w:sz w:val="32"/>
          <w:szCs w:val="32"/>
          <w:lang w:val="en-US" w:eastAsia="zh-CN"/>
        </w:rPr>
      </w:pPr>
      <w:r>
        <w:rPr>
          <w:rFonts w:hint="default" w:ascii="仿宋_GB2312" w:eastAsia="仿宋_GB2312"/>
          <w:sz w:val="32"/>
          <w:szCs w:val="32"/>
          <w:lang w:val="en-US" w:eastAsia="zh-CN"/>
        </w:rPr>
        <w:t>本年度单位收入合计</w:t>
      </w:r>
      <w:r>
        <w:rPr>
          <w:rFonts w:hint="eastAsia" w:ascii="仿宋_GB2312" w:eastAsia="仿宋_GB2312"/>
          <w:sz w:val="32"/>
          <w:szCs w:val="32"/>
          <w:lang w:val="en-US" w:eastAsia="zh-CN"/>
        </w:rPr>
        <w:t>2235990.09</w:t>
      </w:r>
      <w:r>
        <w:rPr>
          <w:rFonts w:hint="default" w:ascii="仿宋_GB2312" w:eastAsia="仿宋_GB2312"/>
          <w:sz w:val="32"/>
          <w:szCs w:val="32"/>
          <w:lang w:val="en-US" w:eastAsia="zh-CN"/>
        </w:rPr>
        <w:t>元，</w:t>
      </w:r>
      <w:r>
        <w:rPr>
          <w:rFonts w:hint="eastAsia" w:ascii="仿宋_GB2312" w:eastAsia="仿宋_GB2312"/>
          <w:sz w:val="32"/>
          <w:szCs w:val="32"/>
          <w:lang w:val="en-US" w:eastAsia="zh-CN"/>
        </w:rPr>
        <w:t>财政拨款收入2235990.09元。</w:t>
      </w:r>
    </w:p>
    <w:p>
      <w:pPr>
        <w:numPr>
          <w:ilvl w:val="0"/>
          <w:numId w:val="2"/>
        </w:numPr>
        <w:spacing w:line="560" w:lineRule="exact"/>
        <w:ind w:firstLine="640" w:firstLineChars="200"/>
        <w:rPr>
          <w:rFonts w:hint="eastAsia" w:ascii="仿宋_GB2312" w:eastAsia="仿宋_GB2312"/>
          <w:sz w:val="32"/>
          <w:szCs w:val="32"/>
          <w:lang w:val="en-US" w:eastAsia="zh-CN"/>
        </w:rPr>
      </w:pPr>
      <w:r>
        <w:rPr>
          <w:rFonts w:hint="eastAsia" w:ascii="仿宋_GB2312" w:eastAsia="仿宋_GB2312"/>
          <w:sz w:val="32"/>
          <w:szCs w:val="32"/>
        </w:rPr>
        <w:t>支出决算情况</w:t>
      </w:r>
    </w:p>
    <w:p>
      <w:pPr>
        <w:spacing w:line="560" w:lineRule="exact"/>
        <w:ind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财政拨款支出合计2235990.09元，其中基本支出是1246967.84元，人员经费支出1147016.57元。</w:t>
      </w:r>
    </w:p>
    <w:p>
      <w:pPr>
        <w:spacing w:line="560" w:lineRule="exact"/>
        <w:ind w:firstLine="640" w:firstLineChars="200"/>
        <w:rPr>
          <w:rFonts w:ascii="黑体" w:hAnsi="黑体" w:eastAsia="黑体"/>
          <w:sz w:val="32"/>
          <w:szCs w:val="32"/>
        </w:rPr>
      </w:pPr>
      <w:r>
        <w:rPr>
          <w:rFonts w:hint="eastAsia" w:ascii="黑体" w:hAnsi="黑体" w:eastAsia="黑体"/>
          <w:sz w:val="32"/>
          <w:szCs w:val="32"/>
        </w:rPr>
        <w:t>二、整体支出管理及使用情况</w:t>
      </w:r>
    </w:p>
    <w:p>
      <w:pPr>
        <w:spacing w:line="560" w:lineRule="exact"/>
        <w:ind w:firstLine="640" w:firstLineChars="200"/>
        <w:rPr>
          <w:rFonts w:hint="eastAsia" w:ascii="仿宋_GB2312" w:eastAsia="仿宋_GB2312"/>
          <w:sz w:val="32"/>
          <w:szCs w:val="32"/>
        </w:rPr>
      </w:pPr>
      <w:r>
        <w:rPr>
          <w:rFonts w:hint="eastAsia" w:ascii="仿宋_GB2312" w:eastAsia="仿宋_GB2312"/>
          <w:sz w:val="32"/>
          <w:szCs w:val="32"/>
        </w:rPr>
        <w:t>（一）基本支出</w:t>
      </w:r>
    </w:p>
    <w:p>
      <w:pPr>
        <w:spacing w:line="560" w:lineRule="exact"/>
        <w:ind w:firstLine="640" w:firstLineChars="200"/>
        <w:rPr>
          <w:rFonts w:hint="default" w:ascii="仿宋_GB2312" w:eastAsia="仿宋_GB2312"/>
          <w:sz w:val="32"/>
          <w:szCs w:val="32"/>
          <w:lang w:val="en-US" w:eastAsia="zh-CN"/>
        </w:rPr>
      </w:pPr>
      <w:r>
        <w:rPr>
          <w:rFonts w:hint="eastAsia" w:ascii="仿宋_GB2312" w:eastAsia="仿宋_GB2312"/>
          <w:sz w:val="32"/>
          <w:szCs w:val="32"/>
          <w:lang w:val="en-US" w:eastAsia="zh-CN"/>
        </w:rPr>
        <w:t>本年基本支出2235990.09元。</w:t>
      </w:r>
    </w:p>
    <w:p>
      <w:pPr>
        <w:numPr>
          <w:ilvl w:val="0"/>
          <w:numId w:val="3"/>
        </w:numPr>
        <w:spacing w:line="560" w:lineRule="exact"/>
        <w:ind w:firstLine="640" w:firstLineChars="200"/>
        <w:rPr>
          <w:rFonts w:hint="eastAsia" w:ascii="仿宋_GB2312" w:eastAsia="仿宋_GB2312"/>
          <w:sz w:val="32"/>
          <w:szCs w:val="32"/>
        </w:rPr>
      </w:pPr>
      <w:r>
        <w:rPr>
          <w:rFonts w:hint="eastAsia" w:ascii="仿宋_GB2312" w:eastAsia="仿宋_GB2312"/>
          <w:sz w:val="32"/>
          <w:szCs w:val="32"/>
        </w:rPr>
        <w:t>项目支出</w:t>
      </w:r>
    </w:p>
    <w:p>
      <w:pPr>
        <w:numPr>
          <w:ilvl w:val="0"/>
          <w:numId w:val="0"/>
        </w:numPr>
        <w:spacing w:line="560" w:lineRule="exact"/>
        <w:rPr>
          <w:rFonts w:hint="default" w:ascii="仿宋_GB2312" w:eastAsia="仿宋_GB2312"/>
          <w:sz w:val="32"/>
          <w:szCs w:val="32"/>
          <w:lang w:val="en-US" w:eastAsia="zh-CN"/>
        </w:rPr>
      </w:pPr>
      <w:r>
        <w:rPr>
          <w:rFonts w:hint="eastAsia" w:ascii="仿宋_GB2312" w:eastAsia="仿宋_GB2312"/>
          <w:sz w:val="32"/>
          <w:szCs w:val="32"/>
          <w:lang w:val="en-US" w:eastAsia="zh-CN"/>
        </w:rPr>
        <w:t xml:space="preserve">    本年项目支出444361.75元。</w:t>
      </w:r>
    </w:p>
    <w:p>
      <w:pPr>
        <w:numPr>
          <w:ilvl w:val="0"/>
          <w:numId w:val="3"/>
        </w:numPr>
        <w:spacing w:line="560" w:lineRule="exact"/>
        <w:ind w:left="0" w:leftChars="0" w:firstLine="640" w:firstLineChars="200"/>
        <w:rPr>
          <w:rFonts w:hint="default" w:ascii="仿宋_GB2312" w:eastAsia="仿宋_GB2312"/>
          <w:sz w:val="32"/>
          <w:szCs w:val="32"/>
          <w:lang w:val="en-US" w:eastAsia="zh-CN"/>
        </w:rPr>
      </w:pPr>
      <w:r>
        <w:rPr>
          <w:rFonts w:hint="eastAsia" w:ascii="仿宋_GB2312" w:eastAsia="仿宋_GB2312"/>
          <w:sz w:val="32"/>
          <w:szCs w:val="32"/>
        </w:rPr>
        <w:t>“三公”经费决算说明</w:t>
      </w:r>
      <w:r>
        <w:rPr>
          <w:rFonts w:hint="eastAsia" w:ascii="仿宋_GB2312" w:eastAsia="仿宋_GB2312"/>
          <w:sz w:val="32"/>
          <w:szCs w:val="32"/>
          <w:lang w:eastAsia="zh-CN"/>
        </w:rPr>
        <w:t>：</w:t>
      </w:r>
    </w:p>
    <w:p>
      <w:pPr>
        <w:numPr>
          <w:ilvl w:val="0"/>
          <w:numId w:val="0"/>
        </w:numPr>
        <w:spacing w:line="560" w:lineRule="exact"/>
        <w:ind w:left="740" w:leftChars="0"/>
        <w:rPr>
          <w:rFonts w:hint="eastAsia" w:ascii="仿宋_GB2312" w:eastAsia="仿宋_GB2312"/>
          <w:sz w:val="32"/>
          <w:szCs w:val="32"/>
          <w:lang w:val="en-US" w:eastAsia="zh-CN"/>
        </w:rPr>
      </w:pPr>
      <w:r>
        <w:rPr>
          <w:rFonts w:hint="eastAsia" w:ascii="仿宋_GB2312" w:eastAsia="仿宋_GB2312"/>
          <w:sz w:val="32"/>
          <w:szCs w:val="32"/>
          <w:lang w:val="en-US" w:eastAsia="zh-CN"/>
        </w:rPr>
        <w:t>1、本年无因公出国（境）费。</w:t>
      </w:r>
    </w:p>
    <w:p>
      <w:pPr>
        <w:numPr>
          <w:ilvl w:val="0"/>
          <w:numId w:val="0"/>
        </w:numPr>
        <w:spacing w:line="560" w:lineRule="exact"/>
        <w:ind w:left="740" w:leftChars="0"/>
        <w:rPr>
          <w:rFonts w:hint="eastAsia" w:ascii="仿宋_GB2312" w:eastAsia="仿宋_GB2312"/>
          <w:sz w:val="32"/>
          <w:szCs w:val="32"/>
          <w:lang w:val="en-US" w:eastAsia="zh-CN"/>
        </w:rPr>
      </w:pPr>
      <w:r>
        <w:rPr>
          <w:rFonts w:hint="eastAsia" w:ascii="仿宋_GB2312" w:eastAsia="仿宋_GB2312"/>
          <w:sz w:val="32"/>
          <w:szCs w:val="32"/>
          <w:lang w:val="en-US" w:eastAsia="zh-CN"/>
        </w:rPr>
        <w:t>2、无公务用车，不存在公务用车运行费。</w:t>
      </w:r>
    </w:p>
    <w:p>
      <w:pPr>
        <w:numPr>
          <w:ilvl w:val="0"/>
          <w:numId w:val="0"/>
        </w:numPr>
        <w:spacing w:line="560" w:lineRule="exact"/>
        <w:ind w:leftChars="200" w:firstLine="320" w:firstLineChars="100"/>
        <w:rPr>
          <w:rFonts w:hint="default" w:ascii="仿宋_GB2312" w:eastAsia="仿宋_GB2312"/>
          <w:sz w:val="32"/>
          <w:szCs w:val="32"/>
          <w:lang w:val="en-US" w:eastAsia="zh-CN"/>
        </w:rPr>
      </w:pPr>
      <w:r>
        <w:rPr>
          <w:rFonts w:hint="eastAsia" w:ascii="仿宋_GB2312" w:eastAsia="仿宋_GB2312"/>
          <w:sz w:val="32"/>
          <w:szCs w:val="32"/>
          <w:lang w:val="en-US" w:eastAsia="zh-CN"/>
        </w:rPr>
        <w:t>3、本年无公务接待费，比上年无增减。</w:t>
      </w:r>
    </w:p>
    <w:p>
      <w:pPr>
        <w:numPr>
          <w:ilvl w:val="0"/>
          <w:numId w:val="3"/>
        </w:numPr>
        <w:spacing w:line="560" w:lineRule="exact"/>
        <w:ind w:left="0" w:leftChars="0" w:firstLine="640" w:firstLineChars="200"/>
        <w:rPr>
          <w:rFonts w:hint="eastAsia" w:ascii="仿宋_GB2312" w:eastAsia="仿宋_GB2312"/>
          <w:sz w:val="32"/>
          <w:szCs w:val="32"/>
        </w:rPr>
      </w:pPr>
      <w:r>
        <w:rPr>
          <w:rFonts w:hint="eastAsia" w:ascii="仿宋_GB2312" w:eastAsia="仿宋_GB2312"/>
          <w:sz w:val="32"/>
          <w:szCs w:val="32"/>
        </w:rPr>
        <w:t>支出管理情况</w:t>
      </w:r>
    </w:p>
    <w:p>
      <w:pPr>
        <w:numPr>
          <w:ilvl w:val="0"/>
          <w:numId w:val="0"/>
        </w:numPr>
        <w:spacing w:line="560" w:lineRule="exact"/>
        <w:ind w:leftChars="200"/>
        <w:rPr>
          <w:rFonts w:hint="eastAsia" w:ascii="仿宋_GB2312" w:eastAsia="仿宋_GB2312"/>
          <w:sz w:val="32"/>
          <w:szCs w:val="32"/>
          <w:lang w:val="en-US" w:eastAsia="zh-CN"/>
        </w:rPr>
      </w:pPr>
      <w:r>
        <w:rPr>
          <w:rFonts w:hint="eastAsia" w:ascii="仿宋_GB2312" w:eastAsia="仿宋_GB2312"/>
          <w:sz w:val="32"/>
          <w:szCs w:val="32"/>
          <w:lang w:val="en-US" w:eastAsia="zh-CN"/>
        </w:rPr>
        <w:t xml:space="preserve">   1、严格审核支出票据，每笔报销需经经手人签名、财务人员审核，分管领导审核签字，再经主要领导审签后方可报账。每季度主要领导及分管领导对凭证进行审查，发现问题立即整改。确需内部审计账务，报请县文体广旅局内部审计组，进行财务审计，确保馆内财务安全运行。</w:t>
      </w:r>
    </w:p>
    <w:p>
      <w:pPr>
        <w:numPr>
          <w:ilvl w:val="0"/>
          <w:numId w:val="0"/>
        </w:numPr>
        <w:spacing w:line="560" w:lineRule="exact"/>
        <w:ind w:leftChars="200"/>
        <w:rPr>
          <w:rFonts w:hint="eastAsia" w:ascii="仿宋_GB2312" w:eastAsia="仿宋_GB2312"/>
          <w:sz w:val="32"/>
          <w:szCs w:val="32"/>
          <w:lang w:val="en-US" w:eastAsia="zh-CN"/>
        </w:rPr>
      </w:pPr>
      <w:r>
        <w:rPr>
          <w:rFonts w:hint="eastAsia" w:ascii="仿宋_GB2312" w:eastAsia="仿宋_GB2312"/>
          <w:sz w:val="32"/>
          <w:szCs w:val="32"/>
          <w:lang w:val="en-US" w:eastAsia="zh-CN"/>
        </w:rPr>
        <w:t xml:space="preserve">   2、提取现金不得超过1000元，差旅费支付，均按县财政的有关规定执行，及时报销，不得拖延欠账。工作人员出差归来后2周内凭单据报销。差旅费一律通过公务卡结算。</w:t>
      </w:r>
    </w:p>
    <w:p>
      <w:pPr>
        <w:numPr>
          <w:ilvl w:val="0"/>
          <w:numId w:val="0"/>
        </w:numPr>
        <w:spacing w:line="560" w:lineRule="exact"/>
        <w:ind w:leftChars="200"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3、办公用品的采购实行集中定点采购。干部职工要增强节约意识，节约纸张及各项工作开支。购买物品，均由财务人员会同有关人员统一购买，购回后由财务人员统一管理，记入办公用品管理册，由使用者签字领用。</w:t>
      </w:r>
    </w:p>
    <w:p>
      <w:pPr>
        <w:numPr>
          <w:ilvl w:val="0"/>
          <w:numId w:val="0"/>
        </w:numPr>
        <w:spacing w:line="560" w:lineRule="exact"/>
        <w:ind w:leftChars="200"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4、小额物资采购必须两人以上参与。3000元以上财务支出上馆支部大会研究决定。5000元以上大额支出提交支部会讨论后报局党组会研究决定。主要领导和分管领导严格把关，财务人员高度重视，杜绝大额费用无审批无明细。</w:t>
      </w:r>
    </w:p>
    <w:p>
      <w:pPr>
        <w:numPr>
          <w:ilvl w:val="0"/>
          <w:numId w:val="0"/>
        </w:numPr>
        <w:spacing w:line="560" w:lineRule="exact"/>
        <w:ind w:leftChars="200"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5、馆内经费开支情况，财务人员每季度向支部委员会汇报一次。</w:t>
      </w:r>
    </w:p>
    <w:p>
      <w:pPr>
        <w:numPr>
          <w:ilvl w:val="0"/>
          <w:numId w:val="3"/>
        </w:numPr>
        <w:spacing w:line="560" w:lineRule="exact"/>
        <w:ind w:left="0" w:leftChars="0" w:firstLine="640" w:firstLineChars="200"/>
        <w:rPr>
          <w:rFonts w:hint="eastAsia" w:ascii="仿宋_GB2312" w:eastAsia="仿宋_GB2312"/>
          <w:sz w:val="32"/>
          <w:szCs w:val="32"/>
        </w:rPr>
      </w:pPr>
      <w:r>
        <w:rPr>
          <w:rFonts w:hint="eastAsia" w:ascii="仿宋_GB2312" w:eastAsia="仿宋_GB2312"/>
          <w:sz w:val="32"/>
          <w:szCs w:val="32"/>
        </w:rPr>
        <w:t>资产管理情况</w:t>
      </w:r>
    </w:p>
    <w:p>
      <w:pPr>
        <w:pStyle w:val="9"/>
        <w:ind w:left="160" w:leftChars="76" w:firstLine="640"/>
        <w:rPr>
          <w:rFonts w:hint="eastAsia" w:ascii="仿宋_GB2312" w:hAnsi="楷体" w:eastAsia="仿宋_GB2312"/>
          <w:kern w:val="0"/>
          <w:sz w:val="32"/>
          <w:szCs w:val="32"/>
        </w:rPr>
      </w:pPr>
      <w:r>
        <w:rPr>
          <w:rFonts w:hint="eastAsia" w:ascii="仿宋_GB2312" w:hAnsi="楷体" w:eastAsia="仿宋_GB2312"/>
          <w:kern w:val="0"/>
          <w:sz w:val="32"/>
          <w:szCs w:val="32"/>
        </w:rPr>
        <w:t>为提高</w:t>
      </w:r>
      <w:r>
        <w:rPr>
          <w:rFonts w:hint="eastAsia" w:ascii="仿宋_GB2312" w:hAnsi="楷体" w:eastAsia="仿宋_GB2312"/>
          <w:kern w:val="0"/>
          <w:sz w:val="32"/>
          <w:szCs w:val="32"/>
          <w:lang w:eastAsia="zh-CN"/>
        </w:rPr>
        <w:t>我单位</w:t>
      </w:r>
      <w:r>
        <w:rPr>
          <w:rFonts w:hint="eastAsia" w:ascii="仿宋_GB2312" w:hAnsi="楷体" w:eastAsia="仿宋_GB2312"/>
          <w:kern w:val="0"/>
          <w:sz w:val="32"/>
          <w:szCs w:val="32"/>
        </w:rPr>
        <w:t>资产运行绩效、加强调剂共享情况、强化固定资产</w:t>
      </w:r>
      <w:r>
        <w:rPr>
          <w:rFonts w:hint="eastAsia" w:ascii="仿宋_GB2312" w:hAnsi="楷体" w:eastAsia="仿宋_GB2312"/>
          <w:kern w:val="0"/>
          <w:sz w:val="32"/>
          <w:szCs w:val="32"/>
          <w:lang w:eastAsia="zh-CN"/>
        </w:rPr>
        <w:t>的</w:t>
      </w:r>
      <w:r>
        <w:rPr>
          <w:rFonts w:hint="eastAsia" w:ascii="仿宋_GB2312" w:hAnsi="楷体" w:eastAsia="仿宋_GB2312"/>
          <w:kern w:val="0"/>
          <w:sz w:val="32"/>
          <w:szCs w:val="32"/>
        </w:rPr>
        <w:t>管理</w:t>
      </w:r>
      <w:r>
        <w:rPr>
          <w:rFonts w:hint="eastAsia" w:ascii="仿宋_GB2312" w:hAnsi="楷体" w:eastAsia="仿宋_GB2312"/>
          <w:kern w:val="0"/>
          <w:sz w:val="32"/>
          <w:szCs w:val="32"/>
          <w:lang w:eastAsia="zh-CN"/>
        </w:rPr>
        <w:t>，我单位采取了以下措施</w:t>
      </w:r>
      <w:r>
        <w:rPr>
          <w:rFonts w:hint="eastAsia" w:ascii="仿宋_GB2312" w:hAnsi="楷体" w:eastAsia="仿宋_GB2312"/>
          <w:kern w:val="0"/>
          <w:sz w:val="32"/>
          <w:szCs w:val="32"/>
        </w:rPr>
        <w:t>。</w:t>
      </w:r>
    </w:p>
    <w:p>
      <w:pPr>
        <w:pStyle w:val="9"/>
        <w:numPr>
          <w:ilvl w:val="0"/>
          <w:numId w:val="4"/>
        </w:numPr>
        <w:ind w:left="160" w:leftChars="76" w:firstLine="640"/>
        <w:rPr>
          <w:rFonts w:hint="eastAsia" w:ascii="仿宋_GB2312" w:hAnsi="楷体" w:eastAsia="仿宋_GB2312"/>
          <w:kern w:val="0"/>
          <w:sz w:val="32"/>
          <w:szCs w:val="32"/>
        </w:rPr>
      </w:pPr>
      <w:r>
        <w:rPr>
          <w:rFonts w:hint="eastAsia" w:ascii="仿宋_GB2312" w:hAnsi="楷体" w:eastAsia="仿宋_GB2312"/>
          <w:kern w:val="0"/>
          <w:sz w:val="32"/>
          <w:szCs w:val="32"/>
        </w:rPr>
        <w:t>建立健全资产配置标准体系。</w:t>
      </w:r>
      <w:r>
        <w:rPr>
          <w:rFonts w:hint="eastAsia" w:ascii="仿宋_GB2312" w:hAnsi="楷体" w:eastAsia="仿宋_GB2312"/>
          <w:kern w:val="0"/>
          <w:sz w:val="32"/>
          <w:szCs w:val="32"/>
          <w:lang w:eastAsia="zh-CN"/>
        </w:rPr>
        <w:t>尤其</w:t>
      </w:r>
      <w:r>
        <w:rPr>
          <w:rFonts w:hint="eastAsia" w:ascii="仿宋_GB2312" w:hAnsi="楷体" w:eastAsia="仿宋_GB2312"/>
          <w:kern w:val="0"/>
          <w:sz w:val="32"/>
          <w:szCs w:val="32"/>
        </w:rPr>
        <w:t>包括办公设备和办公家具。配置标准包括单位价格标准和数量标准</w:t>
      </w:r>
      <w:r>
        <w:rPr>
          <w:rFonts w:hint="eastAsia" w:ascii="仿宋_GB2312" w:hAnsi="楷体" w:eastAsia="仿宋_GB2312"/>
          <w:kern w:val="0"/>
          <w:sz w:val="32"/>
          <w:szCs w:val="32"/>
          <w:lang w:eastAsia="zh-CN"/>
        </w:rPr>
        <w:t>两个</w:t>
      </w:r>
      <w:r>
        <w:rPr>
          <w:rFonts w:hint="eastAsia" w:ascii="仿宋_GB2312" w:hAnsi="楷体" w:eastAsia="仿宋_GB2312"/>
          <w:kern w:val="0"/>
          <w:sz w:val="32"/>
          <w:szCs w:val="32"/>
        </w:rPr>
        <w:t>方面</w:t>
      </w:r>
      <w:r>
        <w:rPr>
          <w:rFonts w:hint="eastAsia" w:ascii="仿宋_GB2312" w:hAnsi="楷体" w:eastAsia="仿宋_GB2312"/>
          <w:kern w:val="0"/>
          <w:sz w:val="32"/>
          <w:szCs w:val="32"/>
          <w:lang w:eastAsia="zh-CN"/>
        </w:rPr>
        <w:t>。</w:t>
      </w:r>
      <w:r>
        <w:rPr>
          <w:rFonts w:hint="eastAsia" w:ascii="仿宋_GB2312" w:hAnsi="楷体" w:eastAsia="仿宋_GB2312"/>
          <w:kern w:val="0"/>
          <w:sz w:val="32"/>
          <w:szCs w:val="32"/>
        </w:rPr>
        <w:t>做好重点资产与大型资产的配置工作。</w:t>
      </w:r>
      <w:r>
        <w:rPr>
          <w:rFonts w:hint="eastAsia" w:ascii="仿宋_GB2312" w:hAnsi="楷体" w:eastAsia="仿宋_GB2312"/>
          <w:kern w:val="0"/>
          <w:sz w:val="32"/>
          <w:szCs w:val="32"/>
          <w:lang w:eastAsia="zh-CN"/>
        </w:rPr>
        <w:t>对于重点资产与大型资产必须通过全体职工一致通过，才需</w:t>
      </w:r>
      <w:r>
        <w:rPr>
          <w:rFonts w:hint="eastAsia" w:ascii="仿宋_GB2312" w:hAnsi="楷体" w:eastAsia="仿宋_GB2312"/>
          <w:kern w:val="0"/>
          <w:sz w:val="32"/>
          <w:szCs w:val="32"/>
        </w:rPr>
        <w:t>配备购置</w:t>
      </w:r>
      <w:r>
        <w:rPr>
          <w:rFonts w:hint="eastAsia" w:ascii="仿宋_GB2312" w:hAnsi="楷体" w:eastAsia="仿宋_GB2312"/>
          <w:kern w:val="0"/>
          <w:sz w:val="32"/>
          <w:szCs w:val="32"/>
          <w:lang w:eastAsia="zh-CN"/>
        </w:rPr>
        <w:t>。</w:t>
      </w:r>
    </w:p>
    <w:p>
      <w:pPr>
        <w:pStyle w:val="9"/>
        <w:numPr>
          <w:ilvl w:val="0"/>
          <w:numId w:val="4"/>
        </w:numPr>
        <w:ind w:left="160" w:leftChars="76" w:firstLine="640"/>
        <w:rPr>
          <w:rFonts w:ascii="仿宋_GB2312" w:hAnsi="楷体" w:eastAsia="仿宋_GB2312"/>
          <w:color w:val="000000"/>
          <w:kern w:val="0"/>
          <w:sz w:val="32"/>
          <w:szCs w:val="32"/>
        </w:rPr>
      </w:pPr>
      <w:r>
        <w:rPr>
          <w:rFonts w:hint="eastAsia" w:ascii="仿宋_GB2312" w:hAnsi="楷体" w:eastAsia="仿宋_GB2312"/>
          <w:kern w:val="0"/>
          <w:sz w:val="32"/>
          <w:szCs w:val="32"/>
        </w:rPr>
        <w:t>做好资产配置预算</w:t>
      </w:r>
      <w:r>
        <w:rPr>
          <w:rFonts w:hint="eastAsia" w:ascii="仿宋_GB2312" w:hAnsi="楷体" w:eastAsia="仿宋_GB2312"/>
          <w:kern w:val="0"/>
          <w:sz w:val="32"/>
          <w:szCs w:val="32"/>
          <w:lang w:eastAsia="zh-CN"/>
        </w:rPr>
        <w:t>工作，</w:t>
      </w:r>
      <w:r>
        <w:rPr>
          <w:rFonts w:hint="eastAsia" w:ascii="仿宋_GB2312" w:hAnsi="楷体" w:eastAsia="仿宋_GB2312"/>
          <w:kern w:val="0"/>
          <w:sz w:val="32"/>
          <w:szCs w:val="32"/>
        </w:rPr>
        <w:t>在编报资产配置预算时，充分征求</w:t>
      </w:r>
      <w:r>
        <w:rPr>
          <w:rFonts w:hint="eastAsia" w:ascii="仿宋_GB2312" w:hAnsi="楷体" w:eastAsia="仿宋_GB2312"/>
          <w:kern w:val="0"/>
          <w:sz w:val="32"/>
          <w:szCs w:val="32"/>
          <w:lang w:eastAsia="zh-CN"/>
        </w:rPr>
        <w:t>单位职工</w:t>
      </w:r>
      <w:r>
        <w:rPr>
          <w:rFonts w:hint="eastAsia" w:ascii="仿宋_GB2312" w:hAnsi="楷体" w:eastAsia="仿宋_GB2312"/>
          <w:kern w:val="0"/>
          <w:sz w:val="32"/>
          <w:szCs w:val="32"/>
        </w:rPr>
        <w:t>的意见</w:t>
      </w:r>
      <w:r>
        <w:rPr>
          <w:rFonts w:hint="eastAsia" w:ascii="仿宋_GB2312" w:hAnsi="楷体" w:eastAsia="仿宋_GB2312"/>
          <w:kern w:val="0"/>
          <w:sz w:val="32"/>
          <w:szCs w:val="32"/>
          <w:lang w:eastAsia="zh-CN"/>
        </w:rPr>
        <w:t>。确保资产不浪费，提高资产使用效率。</w:t>
      </w:r>
    </w:p>
    <w:p>
      <w:pPr>
        <w:numPr>
          <w:ilvl w:val="0"/>
          <w:numId w:val="0"/>
        </w:numPr>
        <w:spacing w:line="560" w:lineRule="exact"/>
        <w:ind w:leftChars="200"/>
        <w:rPr>
          <w:rFonts w:hint="default" w:ascii="仿宋_GB2312" w:eastAsia="仿宋_GB2312"/>
          <w:sz w:val="32"/>
          <w:szCs w:val="32"/>
          <w:lang w:val="en-US" w:eastAsia="zh-CN"/>
        </w:rPr>
      </w:pPr>
    </w:p>
    <w:p>
      <w:pPr>
        <w:numPr>
          <w:ilvl w:val="0"/>
          <w:numId w:val="0"/>
        </w:numPr>
        <w:spacing w:line="560" w:lineRule="exact"/>
        <w:ind w:leftChars="200"/>
        <w:rPr>
          <w:rFonts w:ascii="黑体" w:hAnsi="黑体" w:eastAsia="黑体"/>
          <w:sz w:val="32"/>
          <w:szCs w:val="32"/>
        </w:rPr>
      </w:pPr>
      <w:r>
        <w:rPr>
          <w:rFonts w:hint="eastAsia" w:ascii="仿宋_GB2312" w:eastAsia="仿宋_GB2312"/>
          <w:sz w:val="32"/>
          <w:szCs w:val="32"/>
          <w:lang w:val="en-US" w:eastAsia="zh-CN"/>
        </w:rPr>
        <w:t xml:space="preserve">   </w:t>
      </w:r>
      <w:r>
        <w:rPr>
          <w:rFonts w:hint="eastAsia" w:ascii="黑体" w:hAnsi="黑体" w:eastAsia="黑体"/>
          <w:sz w:val="32"/>
          <w:szCs w:val="32"/>
        </w:rPr>
        <w:t>三、整体支出绩效情况</w:t>
      </w:r>
    </w:p>
    <w:p>
      <w:pPr>
        <w:numPr>
          <w:ilvl w:val="0"/>
          <w:numId w:val="0"/>
        </w:numPr>
        <w:spacing w:line="560" w:lineRule="exact"/>
        <w:ind w:leftChars="200"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 xml:space="preserve">1、产出指标 </w:t>
      </w:r>
    </w:p>
    <w:p>
      <w:pPr>
        <w:numPr>
          <w:ilvl w:val="0"/>
          <w:numId w:val="0"/>
        </w:numPr>
        <w:spacing w:line="560" w:lineRule="exact"/>
        <w:ind w:leftChars="200"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（1）数量指标。增加馆藏量10000册，种类增多16种，组织各类型的阅读推广宣传活动的次数增加至45次，拍摄视频数字资源数10集，读者到馆人次增加。</w:t>
      </w:r>
    </w:p>
    <w:p>
      <w:pPr>
        <w:spacing w:line="600" w:lineRule="exact"/>
        <w:ind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（2）质量指标。拓宽全民阅读服务领域，提升阅读宣传覆盖率组织各类型的文化宣传活动。丰富的历史文化资源和人文资源得以有效的记录、传承和利用。提升阅读环境舒适度，</w:t>
      </w:r>
      <w:r>
        <w:rPr>
          <w:rFonts w:hint="eastAsia" w:ascii="仿宋" w:hAnsi="仿宋" w:eastAsia="仿宋" w:cs="仿宋_GB2312"/>
          <w:sz w:val="32"/>
          <w:szCs w:val="32"/>
          <w:lang w:val="en-US" w:eastAsia="zh-CN"/>
        </w:rPr>
        <w:t>最大限度的为读者提供方便、快捷、高效、安全的借阅服务</w:t>
      </w:r>
      <w:r>
        <w:rPr>
          <w:rFonts w:hint="eastAsia" w:ascii="仿宋_GB2312" w:eastAsia="仿宋_GB2312"/>
          <w:sz w:val="32"/>
          <w:szCs w:val="32"/>
          <w:lang w:val="en-US" w:eastAsia="zh-CN"/>
        </w:rPr>
        <w:t>。</w:t>
      </w:r>
    </w:p>
    <w:p>
      <w:pPr>
        <w:numPr>
          <w:ilvl w:val="0"/>
          <w:numId w:val="0"/>
        </w:numPr>
        <w:spacing w:line="560" w:lineRule="exact"/>
        <w:ind w:leftChars="200"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 xml:space="preserve">2、效益指标 </w:t>
      </w:r>
    </w:p>
    <w:p>
      <w:pPr>
        <w:spacing w:line="600" w:lineRule="exact"/>
        <w:ind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 xml:space="preserve">（1）社会效益。通过组织各类型的阅读推广宣传活动的次数增加，读者的流通人次增加了 25%，借阅量提高了20%，阅读覆盖率也扩大了，丰富了群众的业余文化生活，满足了人民群众日益增长的文化需求。10集视频资源的拍摄，使我馆数字资源建设再上新台阶。读者阅读环境舒适度的提升，也增加了读者的流通量。 </w:t>
      </w:r>
    </w:p>
    <w:p>
      <w:pPr>
        <w:numPr>
          <w:ilvl w:val="0"/>
          <w:numId w:val="0"/>
        </w:numPr>
        <w:spacing w:line="560" w:lineRule="exact"/>
        <w:ind w:leftChars="200"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（2）可持续影响。免费开放工作形成常态化，向群众提供公共文化服务的能力得到提高，服务水平进一步提升。 10集视频资源的录制，对推进我馆数字图书馆建设中具有里程碑意义。使我馆数字资源建设再上新台阶。</w:t>
      </w:r>
    </w:p>
    <w:p>
      <w:pPr>
        <w:spacing w:line="600" w:lineRule="exact"/>
        <w:ind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 xml:space="preserve"> 3.满意度指标。 我馆长期以来坚持做好阅读宣传活动形成了常态化，阅读覆盖率每年递增，读者人数不断增加，满足了人民群众日益增长的文化需求。完成视频资源10集内容的拍摄，使山丹县独特的历史传统和文化特征，丰富的历史文化资源和人文资源得以有效的记录、传承和利用，同时增加了我馆数字资源的馆藏量。阅读环境舒适度的提升也满足了人民群众对阅读环境的要求，让更多人走进图书馆。</w:t>
      </w:r>
    </w:p>
    <w:p>
      <w:pPr>
        <w:numPr>
          <w:ilvl w:val="0"/>
          <w:numId w:val="0"/>
        </w:numPr>
        <w:spacing w:line="560" w:lineRule="exact"/>
        <w:ind w:leftChars="200" w:firstLine="640" w:firstLineChars="200"/>
        <w:rPr>
          <w:rFonts w:hint="eastAsia" w:ascii="黑体" w:hAnsi="黑体" w:eastAsia="黑体"/>
          <w:sz w:val="32"/>
          <w:szCs w:val="32"/>
        </w:rPr>
      </w:pPr>
      <w:r>
        <w:rPr>
          <w:rFonts w:hint="eastAsia" w:ascii="黑体" w:hAnsi="黑体" w:eastAsia="黑体"/>
          <w:sz w:val="32"/>
          <w:szCs w:val="32"/>
        </w:rPr>
        <w:t>四、存在的问题下一步改进工作的措施</w:t>
      </w:r>
    </w:p>
    <w:p>
      <w:pPr>
        <w:numPr>
          <w:ilvl w:val="0"/>
          <w:numId w:val="0"/>
        </w:numPr>
        <w:spacing w:line="560" w:lineRule="exact"/>
        <w:ind w:leftChars="200"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1、加强绩效管理能力培训，提高工作人员绩效管理水平。</w:t>
      </w:r>
    </w:p>
    <w:p>
      <w:pPr>
        <w:numPr>
          <w:ilvl w:val="0"/>
          <w:numId w:val="0"/>
        </w:numPr>
        <w:spacing w:line="560" w:lineRule="exact"/>
        <w:ind w:leftChars="200"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2、完善基础管理工作，做好项目实施情况的过程记录和统计分析工作，提高业务评价和分析精准。</w:t>
      </w:r>
    </w:p>
    <w:p>
      <w:pPr>
        <w:numPr>
          <w:ilvl w:val="0"/>
          <w:numId w:val="0"/>
        </w:numPr>
        <w:spacing w:line="560" w:lineRule="exact"/>
        <w:ind w:leftChars="200" w:firstLine="640" w:firstLineChars="200"/>
        <w:rPr>
          <w:rFonts w:hint="eastAsia" w:ascii="黑体" w:hAnsi="黑体" w:eastAsia="黑体"/>
          <w:sz w:val="32"/>
          <w:szCs w:val="32"/>
        </w:rPr>
      </w:pPr>
      <w:r>
        <w:rPr>
          <w:rFonts w:hint="eastAsia" w:ascii="黑体" w:hAnsi="黑体" w:eastAsia="黑体"/>
          <w:sz w:val="32"/>
          <w:szCs w:val="32"/>
        </w:rPr>
        <w:t>六、意见建议</w:t>
      </w:r>
    </w:p>
    <w:p>
      <w:pPr>
        <w:numPr>
          <w:ilvl w:val="0"/>
          <w:numId w:val="0"/>
        </w:numPr>
        <w:spacing w:line="560" w:lineRule="exact"/>
        <w:ind w:leftChars="200"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项目相关人员在日常工作中，需对项目活动的全过程记录完整且完善好相关的基础信息和数据信息。如：记录好相关项目活动的参加人员信息、培训活动的对象信息及其他相关资料等。从而做到对项目的实施情况准确了解，提高业务评价和分析的精准。</w:t>
      </w:r>
    </w:p>
    <w:p>
      <w:pPr>
        <w:spacing w:line="560" w:lineRule="exact"/>
        <w:ind w:firstLine="640" w:firstLineChars="200"/>
        <w:rPr>
          <w:rFonts w:hint="eastAsia" w:ascii="仿宋_GB2312" w:eastAsia="仿宋_GB2312"/>
          <w:sz w:val="32"/>
          <w:szCs w:val="32"/>
          <w:lang w:val="en-US" w:eastAsia="zh-CN"/>
        </w:rPr>
      </w:pPr>
    </w:p>
    <w:p>
      <w:pPr>
        <w:spacing w:line="560" w:lineRule="exact"/>
        <w:ind w:firstLine="640" w:firstLineChars="200"/>
        <w:rPr>
          <w:rFonts w:hint="eastAsia" w:ascii="仿宋_GB2312" w:eastAsia="仿宋_GB2312"/>
          <w:sz w:val="32"/>
          <w:szCs w:val="32"/>
          <w:lang w:val="en-US" w:eastAsia="zh-CN"/>
        </w:rPr>
      </w:pPr>
    </w:p>
    <w:p>
      <w:pPr>
        <w:spacing w:line="560" w:lineRule="exact"/>
        <w:ind w:firstLine="640" w:firstLineChars="200"/>
        <w:rPr>
          <w:rFonts w:hint="eastAsia" w:ascii="仿宋_GB2312" w:eastAsia="仿宋_GB2312"/>
          <w:sz w:val="32"/>
          <w:szCs w:val="32"/>
          <w:lang w:val="en-US" w:eastAsia="zh-CN"/>
        </w:rPr>
      </w:pPr>
    </w:p>
    <w:p>
      <w:pPr>
        <w:spacing w:line="560" w:lineRule="exact"/>
        <w:ind w:firstLine="4160" w:firstLineChars="1300"/>
        <w:rPr>
          <w:rFonts w:hint="eastAsia" w:ascii="仿宋_GB2312" w:eastAsia="仿宋_GB2312"/>
          <w:sz w:val="32"/>
          <w:szCs w:val="32"/>
          <w:lang w:val="en-US" w:eastAsia="zh-CN"/>
        </w:rPr>
      </w:pPr>
      <w:r>
        <w:rPr>
          <w:rFonts w:hint="eastAsia" w:ascii="仿宋_GB2312" w:eastAsia="仿宋_GB2312"/>
          <w:sz w:val="32"/>
          <w:szCs w:val="32"/>
          <w:lang w:val="en-US" w:eastAsia="zh-CN"/>
        </w:rPr>
        <w:t>山丹培黎图书馆</w:t>
      </w:r>
    </w:p>
    <w:p>
      <w:pPr>
        <w:spacing w:line="560" w:lineRule="exact"/>
        <w:ind w:firstLine="4160" w:firstLineChars="1300"/>
        <w:rPr>
          <w:rFonts w:hint="default" w:ascii="仿宋_GB2312" w:eastAsia="仿宋_GB2312"/>
          <w:sz w:val="32"/>
          <w:szCs w:val="32"/>
          <w:lang w:val="en-US" w:eastAsia="zh-CN"/>
        </w:rPr>
      </w:pPr>
      <w:r>
        <w:rPr>
          <w:rFonts w:hint="eastAsia" w:ascii="仿宋_GB2312" w:eastAsia="仿宋_GB2312"/>
          <w:sz w:val="32"/>
          <w:szCs w:val="32"/>
          <w:lang w:val="en-US" w:eastAsia="zh-CN"/>
        </w:rPr>
        <w:t>2024年1月5</w:t>
      </w:r>
      <w:bookmarkStart w:id="0" w:name="_GoBack"/>
      <w:bookmarkEnd w:id="0"/>
      <w:r>
        <w:rPr>
          <w:rFonts w:hint="eastAsia" w:ascii="仿宋_GB2312" w:eastAsia="仿宋_GB2312"/>
          <w:sz w:val="32"/>
          <w:szCs w:val="32"/>
          <w:lang w:val="en-US" w:eastAsia="zh-CN"/>
        </w:rPr>
        <w:t>日</w:t>
      </w:r>
    </w:p>
    <w:p/>
    <w:sectPr>
      <w:pgSz w:w="11906" w:h="16838"/>
      <w:pgMar w:top="1440" w:right="1797" w:bottom="1440"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方正小标宋简体">
    <w:altName w:val="黑体"/>
    <w:panose1 w:val="02010601030101010101"/>
    <w:charset w:val="86"/>
    <w:family w:val="auto"/>
    <w:pitch w:val="default"/>
    <w:sig w:usb0="00000000" w:usb1="00000000" w:usb2="0000001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5ACB7CB"/>
    <w:multiLevelType w:val="singleLevel"/>
    <w:tmpl w:val="D5ACB7CB"/>
    <w:lvl w:ilvl="0" w:tentative="0">
      <w:start w:val="2"/>
      <w:numFmt w:val="decimal"/>
      <w:lvlText w:val="%1."/>
      <w:lvlJc w:val="left"/>
      <w:pPr>
        <w:tabs>
          <w:tab w:val="left" w:pos="312"/>
        </w:tabs>
      </w:pPr>
    </w:lvl>
  </w:abstractNum>
  <w:abstractNum w:abstractNumId="1">
    <w:nsid w:val="0000000C"/>
    <w:multiLevelType w:val="singleLevel"/>
    <w:tmpl w:val="0000000C"/>
    <w:lvl w:ilvl="0" w:tentative="0">
      <w:start w:val="1"/>
      <w:numFmt w:val="decimal"/>
      <w:suff w:val="nothing"/>
      <w:lvlText w:val="%1."/>
      <w:lvlJc w:val="left"/>
    </w:lvl>
  </w:abstractNum>
  <w:abstractNum w:abstractNumId="2">
    <w:nsid w:val="25B3620B"/>
    <w:multiLevelType w:val="singleLevel"/>
    <w:tmpl w:val="25B3620B"/>
    <w:lvl w:ilvl="0" w:tentative="0">
      <w:start w:val="2"/>
      <w:numFmt w:val="chineseCounting"/>
      <w:suff w:val="nothing"/>
      <w:lvlText w:val="（%1）"/>
      <w:lvlJc w:val="left"/>
      <w:rPr>
        <w:rFonts w:hint="eastAsia"/>
      </w:rPr>
    </w:lvl>
  </w:abstractNum>
  <w:abstractNum w:abstractNumId="3">
    <w:nsid w:val="36609F46"/>
    <w:multiLevelType w:val="singleLevel"/>
    <w:tmpl w:val="36609F46"/>
    <w:lvl w:ilvl="0" w:tentative="0">
      <w:start w:val="2"/>
      <w:numFmt w:val="chineseCounting"/>
      <w:suff w:val="nothing"/>
      <w:lvlText w:val="（%1）"/>
      <w:lvlJc w:val="left"/>
      <w:rPr>
        <w:rFonts w:hint="eastAsia"/>
      </w:r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liZWVhM2M5YmMzN2ZiYmM3NzQ1Y2JlMTk0NzRiODMifQ=="/>
  </w:docVars>
  <w:rsids>
    <w:rsidRoot w:val="42C71578"/>
    <w:rsid w:val="00194BCB"/>
    <w:rsid w:val="004857A1"/>
    <w:rsid w:val="007D09B9"/>
    <w:rsid w:val="00897FD8"/>
    <w:rsid w:val="00AC4864"/>
    <w:rsid w:val="00CB2C4F"/>
    <w:rsid w:val="00E04AF3"/>
    <w:rsid w:val="00ED4999"/>
    <w:rsid w:val="00EE167A"/>
    <w:rsid w:val="01011432"/>
    <w:rsid w:val="05B05F01"/>
    <w:rsid w:val="06341EF1"/>
    <w:rsid w:val="0C943AA2"/>
    <w:rsid w:val="0C9F4CCB"/>
    <w:rsid w:val="0D52226A"/>
    <w:rsid w:val="0D781B45"/>
    <w:rsid w:val="0F5A1F76"/>
    <w:rsid w:val="118A2140"/>
    <w:rsid w:val="14BC5944"/>
    <w:rsid w:val="14D17667"/>
    <w:rsid w:val="15BF393E"/>
    <w:rsid w:val="15CC0ADC"/>
    <w:rsid w:val="16C452FB"/>
    <w:rsid w:val="16F21B73"/>
    <w:rsid w:val="18202F37"/>
    <w:rsid w:val="183A72AB"/>
    <w:rsid w:val="18F2402A"/>
    <w:rsid w:val="1B041DF3"/>
    <w:rsid w:val="1D507571"/>
    <w:rsid w:val="1D807E56"/>
    <w:rsid w:val="1FF37228"/>
    <w:rsid w:val="209B4FA7"/>
    <w:rsid w:val="222F3008"/>
    <w:rsid w:val="234A05BF"/>
    <w:rsid w:val="26867B60"/>
    <w:rsid w:val="26EC030B"/>
    <w:rsid w:val="27914A0E"/>
    <w:rsid w:val="27E40F8C"/>
    <w:rsid w:val="2B2D69A6"/>
    <w:rsid w:val="2C7072E8"/>
    <w:rsid w:val="2CF558FF"/>
    <w:rsid w:val="2D7A7663"/>
    <w:rsid w:val="2DAD6990"/>
    <w:rsid w:val="2E4805E5"/>
    <w:rsid w:val="32110636"/>
    <w:rsid w:val="368A71F8"/>
    <w:rsid w:val="389D1E26"/>
    <w:rsid w:val="391472D2"/>
    <w:rsid w:val="3B4F27BE"/>
    <w:rsid w:val="3D467FF5"/>
    <w:rsid w:val="3DD104BB"/>
    <w:rsid w:val="40D36032"/>
    <w:rsid w:val="42C71578"/>
    <w:rsid w:val="4567545A"/>
    <w:rsid w:val="48E00D56"/>
    <w:rsid w:val="4AE4653C"/>
    <w:rsid w:val="4CDD19CB"/>
    <w:rsid w:val="4D61085B"/>
    <w:rsid w:val="4DB54E56"/>
    <w:rsid w:val="53A4368C"/>
    <w:rsid w:val="56BA4D1A"/>
    <w:rsid w:val="56E662FD"/>
    <w:rsid w:val="5CC6692D"/>
    <w:rsid w:val="5E766130"/>
    <w:rsid w:val="60312FF4"/>
    <w:rsid w:val="60806597"/>
    <w:rsid w:val="60F70295"/>
    <w:rsid w:val="61CF4A73"/>
    <w:rsid w:val="63DC4C88"/>
    <w:rsid w:val="65AE7F5E"/>
    <w:rsid w:val="68AB4835"/>
    <w:rsid w:val="6DD712B3"/>
    <w:rsid w:val="6F4E3F0C"/>
    <w:rsid w:val="71CF3736"/>
    <w:rsid w:val="745D2925"/>
    <w:rsid w:val="75755A6F"/>
    <w:rsid w:val="77277B70"/>
    <w:rsid w:val="784D703C"/>
    <w:rsid w:val="7B675B84"/>
    <w:rsid w:val="7C6B051A"/>
    <w:rsid w:val="7C907561"/>
    <w:rsid w:val="7F7973D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link w:val="8"/>
    <w:autoRedefine/>
    <w:qFormat/>
    <w:uiPriority w:val="0"/>
    <w:pPr>
      <w:tabs>
        <w:tab w:val="center" w:pos="4153"/>
        <w:tab w:val="right" w:pos="8306"/>
      </w:tabs>
      <w:snapToGrid w:val="0"/>
      <w:jc w:val="left"/>
    </w:pPr>
    <w:rPr>
      <w:sz w:val="18"/>
      <w:szCs w:val="18"/>
    </w:rPr>
  </w:style>
  <w:style w:type="paragraph" w:styleId="3">
    <w:name w:val="header"/>
    <w:basedOn w:val="1"/>
    <w:link w:val="7"/>
    <w:autoRedefine/>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autoRedefine/>
    <w:qFormat/>
    <w:uiPriority w:val="0"/>
    <w:pPr>
      <w:spacing w:before="0" w:beforeAutospacing="1" w:after="0" w:afterAutospacing="1"/>
      <w:ind w:left="0" w:right="0"/>
      <w:jc w:val="left"/>
    </w:pPr>
    <w:rPr>
      <w:kern w:val="0"/>
      <w:sz w:val="24"/>
      <w:lang w:val="en-US" w:eastAsia="zh-CN" w:bidi="ar"/>
    </w:rPr>
  </w:style>
  <w:style w:type="character" w:customStyle="1" w:styleId="7">
    <w:name w:val="页眉 Char"/>
    <w:basedOn w:val="6"/>
    <w:link w:val="3"/>
    <w:autoRedefine/>
    <w:qFormat/>
    <w:uiPriority w:val="0"/>
    <w:rPr>
      <w:rFonts w:ascii="Calibri"/>
      <w:kern w:val="2"/>
      <w:sz w:val="18"/>
      <w:szCs w:val="18"/>
    </w:rPr>
  </w:style>
  <w:style w:type="character" w:customStyle="1" w:styleId="8">
    <w:name w:val="页脚 Char"/>
    <w:basedOn w:val="6"/>
    <w:link w:val="2"/>
    <w:qFormat/>
    <w:uiPriority w:val="0"/>
    <w:rPr>
      <w:rFonts w:ascii="Calibri"/>
      <w:kern w:val="2"/>
      <w:sz w:val="18"/>
      <w:szCs w:val="18"/>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1928</Words>
  <Characters>2046</Characters>
  <Lines>3</Lines>
  <Paragraphs>1</Paragraphs>
  <TotalTime>2</TotalTime>
  <ScaleCrop>false</ScaleCrop>
  <LinksUpToDate>false</LinksUpToDate>
  <CharactersWithSpaces>2070</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2018-03-23T02:40:00Z</dcterms:created>
  <dc:creator>散步的鱼</dc:creator>
  <cp:lastModifiedBy>Administrator</cp:lastModifiedBy>
  <cp:lastPrinted>2018-04-11T02:51:00Z</cp:lastPrinted>
  <dcterms:modified xsi:type="dcterms:W3CDTF">2024-01-05T08:43:29Z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6EAD58BC6E8446218868D1D30F760E23_13</vt:lpwstr>
  </property>
</Properties>
</file>