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山丹县融媒体中心</w:t>
      </w:r>
    </w:p>
    <w:p>
      <w:pPr>
        <w:jc w:val="center"/>
        <w:rPr>
          <w:rFonts w:ascii="方正小标宋简体" w:eastAsia="方正小标宋简体"/>
          <w:sz w:val="44"/>
          <w:szCs w:val="44"/>
        </w:rPr>
      </w:pPr>
      <w:r>
        <w:rPr>
          <w:rFonts w:hint="eastAsia" w:ascii="方正小标宋简体" w:eastAsia="方正小标宋简体"/>
          <w:sz w:val="44"/>
          <w:szCs w:val="44"/>
        </w:rPr>
        <w:t>2</w:t>
      </w:r>
      <w:r>
        <w:rPr>
          <w:rFonts w:ascii="方正小标宋简体" w:eastAsia="方正小标宋简体"/>
          <w:sz w:val="44"/>
          <w:szCs w:val="44"/>
        </w:rPr>
        <w:t>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年项目支出绩效自评报告</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一、项目基本情况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r>
        <w:rPr>
          <w:rFonts w:ascii="仿宋_GB2312" w:hAnsi="楷体" w:eastAsia="仿宋_GB2312"/>
          <w:b/>
          <w:sz w:val="32"/>
          <w:szCs w:val="32"/>
        </w:rPr>
        <w:t xml:space="preserve"> </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年度，县财政共下达融媒体中心设备购置</w:t>
      </w:r>
      <w:bookmarkStart w:id="0" w:name="_Hlk94023036"/>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w:t>
      </w:r>
      <w:bookmarkEnd w:id="0"/>
      <w:r>
        <w:rPr>
          <w:rFonts w:hint="eastAsia" w:ascii="仿宋_GB2312" w:hAnsi="仿宋_GB2312" w:eastAsia="仿宋_GB2312" w:cs="仿宋_GB2312"/>
          <w:sz w:val="32"/>
          <w:szCs w:val="32"/>
        </w:rPr>
        <w:t>，</w:t>
      </w:r>
      <w:r>
        <w:rPr>
          <w:rFonts w:hint="eastAsia" w:ascii="仿宋_GB2312" w:eastAsia="仿宋_GB2312"/>
          <w:sz w:val="32"/>
          <w:szCs w:val="32"/>
        </w:rPr>
        <w:t>用于购买</w:t>
      </w:r>
      <w:r>
        <w:rPr>
          <w:rFonts w:hint="eastAsia" w:ascii="仿宋_GB2312" w:eastAsia="仿宋_GB2312"/>
          <w:sz w:val="32"/>
          <w:szCs w:val="32"/>
          <w:lang w:eastAsia="zh-CN"/>
        </w:rPr>
        <w:t>摄像机</w:t>
      </w:r>
      <w:r>
        <w:rPr>
          <w:rFonts w:hint="eastAsia" w:ascii="仿宋_GB2312" w:eastAsia="仿宋_GB2312"/>
          <w:sz w:val="32"/>
          <w:szCs w:val="32"/>
        </w:rPr>
        <w:t>、</w:t>
      </w:r>
      <w:r>
        <w:rPr>
          <w:rFonts w:hint="eastAsia" w:ascii="仿宋_GB2312" w:eastAsia="仿宋_GB2312"/>
          <w:sz w:val="32"/>
          <w:szCs w:val="32"/>
          <w:lang w:eastAsia="zh-CN"/>
        </w:rPr>
        <w:t>航拍器、数码相机、移动编辑站、无线图传</w:t>
      </w:r>
      <w:r>
        <w:rPr>
          <w:rFonts w:hint="eastAsia" w:ascii="仿宋_GB2312" w:eastAsia="仿宋_GB2312"/>
          <w:sz w:val="32"/>
          <w:szCs w:val="32"/>
        </w:rPr>
        <w:t>等新闻采编播设备。</w:t>
      </w:r>
    </w:p>
    <w:p>
      <w:pPr>
        <w:pStyle w:val="5"/>
        <w:spacing w:beforeAutospacing="0" w:afterAutospacing="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根据《山丹县财政局关于开展202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绩效考核工作的通知》要求，我单位立刻开展了项目支出绩效自评，对项目立项依据、批复、建设内容、项目类型、实施周期、项目实施等资金管理和使用进行了严格监督和跟进。在项目资金的使用过程中，严格督促检查，确保项目资金专款专用。</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.融媒体中心设备购置</w:t>
      </w:r>
    </w:p>
    <w:p>
      <w:pPr>
        <w:pStyle w:val="10"/>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融媒体中心始终把“传播党的声音，讲好山丹故事”作为根本宗旨，</w:t>
      </w:r>
      <w:r>
        <w:rPr>
          <w:rFonts w:ascii="仿宋_GB2312" w:hAnsi="仿宋_GB2312" w:eastAsia="仿宋_GB2312" w:cs="仿宋_GB2312"/>
          <w:sz w:val="32"/>
          <w:szCs w:val="32"/>
        </w:rPr>
        <w:t>坚持</w:t>
      </w:r>
      <w:r>
        <w:rPr>
          <w:rFonts w:hint="eastAsia" w:ascii="仿宋_GB2312" w:hAnsi="仿宋" w:eastAsia="仿宋_GB2312" w:cs="Times New Roman"/>
          <w:sz w:val="32"/>
          <w:szCs w:val="32"/>
        </w:rPr>
        <w:t>让全媒体记者</w:t>
      </w:r>
      <w:r>
        <w:rPr>
          <w:rFonts w:hint="eastAsia" w:ascii="仿宋_GB2312" w:hAnsi="仿宋_GB2312" w:eastAsia="仿宋_GB2312" w:cs="仿宋_GB2312"/>
          <w:sz w:val="32"/>
          <w:szCs w:val="32"/>
        </w:rPr>
        <w:t>在基层“接地气”，到一线“抓活鱼”，小切口叙事以情动人，主题报道深入人心</w:t>
      </w:r>
      <w:r>
        <w:rPr>
          <w:rFonts w:ascii="仿宋_GB2312" w:hAnsi="仿宋_GB2312" w:eastAsia="仿宋_GB2312" w:cs="仿宋_GB2312"/>
          <w:sz w:val="32"/>
          <w:szCs w:val="32"/>
        </w:rPr>
        <w:t>，充分依托</w:t>
      </w:r>
      <w:r>
        <w:rPr>
          <w:rFonts w:hint="eastAsia" w:ascii="仿宋_GB2312" w:hAnsi="仿宋_GB2312" w:eastAsia="仿宋_GB2312" w:cs="仿宋_GB2312"/>
          <w:sz w:val="32"/>
          <w:szCs w:val="32"/>
        </w:rPr>
        <w:t>本土</w:t>
      </w:r>
      <w:r>
        <w:rPr>
          <w:rFonts w:ascii="仿宋_GB2312" w:hAnsi="仿宋_GB2312" w:eastAsia="仿宋_GB2312" w:cs="仿宋_GB2312"/>
          <w:sz w:val="32"/>
          <w:szCs w:val="32"/>
        </w:rPr>
        <w:t>文化旅游</w:t>
      </w:r>
      <w:r>
        <w:rPr>
          <w:rFonts w:hint="eastAsia" w:ascii="仿宋_GB2312" w:hAnsi="仿宋_GB2312" w:eastAsia="仿宋_GB2312" w:cs="仿宋_GB2312"/>
          <w:sz w:val="32"/>
          <w:szCs w:val="32"/>
        </w:rPr>
        <w:t>资源</w:t>
      </w:r>
      <w:r>
        <w:rPr>
          <w:rFonts w:ascii="仿宋_GB2312" w:hAnsi="仿宋_GB2312" w:eastAsia="仿宋_GB2312" w:cs="仿宋_GB2312"/>
          <w:sz w:val="32"/>
          <w:szCs w:val="32"/>
        </w:rPr>
        <w:t>、特色风俗风貌、历史名人故事、地方风味美食</w:t>
      </w:r>
      <w:r>
        <w:rPr>
          <w:rFonts w:hint="eastAsia" w:ascii="仿宋_GB2312" w:hAnsi="仿宋_GB2312" w:eastAsia="仿宋_GB2312" w:cs="仿宋_GB2312"/>
          <w:sz w:val="32"/>
          <w:szCs w:val="32"/>
        </w:rPr>
        <w:t>，精心</w:t>
      </w:r>
      <w:r>
        <w:rPr>
          <w:rFonts w:ascii="仿宋_GB2312" w:hAnsi="仿宋_GB2312" w:eastAsia="仿宋_GB2312" w:cs="仿宋_GB2312"/>
          <w:sz w:val="32"/>
          <w:szCs w:val="32"/>
        </w:rPr>
        <w:t>开设</w:t>
      </w:r>
      <w:r>
        <w:rPr>
          <w:rFonts w:hint="eastAsia" w:ascii="仿宋_GB2312" w:hAnsi="仿宋_GB2312" w:eastAsia="仿宋_GB2312" w:cs="仿宋_GB2312"/>
          <w:sz w:val="32"/>
          <w:szCs w:val="32"/>
        </w:rPr>
        <w:t>推出</w:t>
      </w:r>
      <w:r>
        <w:rPr>
          <w:rFonts w:hint="eastAsia" w:ascii="仿宋_GB2312" w:hAnsi="仿宋_GB2312" w:eastAsia="仿宋_GB2312" w:cs="仿宋_GB2312"/>
          <w:color w:val="000000"/>
          <w:kern w:val="2"/>
          <w:sz w:val="32"/>
          <w:szCs w:val="32"/>
          <w:lang w:val="en-US" w:eastAsia="zh-CN" w:bidi="ar-SA"/>
        </w:rPr>
        <w:t>《行摄山丹》《祁连山下》《人气爆棚 山丹炒拨拉美食节就是这么火》</w:t>
      </w:r>
      <w:r>
        <w:rPr>
          <w:rFonts w:hint="eastAsia" w:ascii="仿宋_GB2312" w:hAnsi="仿宋_GB2312" w:eastAsia="仿宋_GB2312" w:cs="仿宋_GB2312"/>
          <w:sz w:val="32"/>
          <w:szCs w:val="32"/>
        </w:rPr>
        <w:t>等一批</w:t>
      </w:r>
      <w:r>
        <w:rPr>
          <w:rFonts w:ascii="仿宋_GB2312" w:hAnsi="仿宋_GB2312" w:eastAsia="仿宋_GB2312" w:cs="仿宋_GB2312"/>
          <w:sz w:val="32"/>
          <w:szCs w:val="32"/>
        </w:rPr>
        <w:t>具有浓郁地方特色的精品栏目，取得良好宣传效果，城市知名度、影响力进一步得到提升。</w:t>
      </w:r>
      <w:bookmarkStart w:id="5" w:name="_GoBack"/>
      <w:bookmarkEnd w:id="5"/>
    </w:p>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）项目实施经济效益</w:t>
      </w:r>
    </w:p>
    <w:p>
      <w:pPr>
        <w:pStyle w:val="2"/>
        <w:ind w:firstLine="640" w:firstLineChars="200"/>
        <w:jc w:val="both"/>
        <w:rPr>
          <w:rFonts w:ascii="仿宋_GB2312" w:hAnsi="仿宋_GB2312" w:eastAsia="仿宋_GB2312" w:cs="仿宋_GB2312"/>
          <w:sz w:val="32"/>
          <w:szCs w:val="32"/>
        </w:rPr>
      </w:pPr>
      <w:bookmarkStart w:id="1" w:name="_Hlk94081474"/>
      <w:r>
        <w:rPr>
          <w:rFonts w:hint="eastAsia" w:ascii="仿宋_GB2312" w:hAnsi="仿宋_GB2312" w:eastAsia="仿宋_GB2312" w:cs="仿宋_GB2312"/>
          <w:sz w:val="32"/>
          <w:szCs w:val="32"/>
        </w:rPr>
        <w:t>协调全县各类媒体平台的互联互通，开发运用各类新兴媒体平台，提高新闻产品质量同时，加强和改进基层宣传思想工作，把基层百姓所需所盼与党委政府积极作为对接起来，把服务延伸到基层、问题解决在基层，切实推动基层宣传思想工作强起来。</w:t>
      </w:r>
    </w:p>
    <w:bookmarkEnd w:id="1"/>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（2）项目实施的社会效益</w:t>
      </w:r>
    </w:p>
    <w:p>
      <w:pPr>
        <w:pStyle w:val="10"/>
        <w:spacing w:line="600" w:lineRule="exact"/>
        <w:ind w:firstLine="640" w:firstLineChars="200"/>
        <w:rPr>
          <w:rFonts w:ascii="仿宋_GB2312" w:hAnsi="仿宋_GB2312" w:eastAsia="仿宋_GB2312" w:cs="仿宋_GB2312"/>
          <w:color w:val="FF0000"/>
          <w:sz w:val="32"/>
          <w:szCs w:val="32"/>
        </w:rPr>
      </w:pPr>
      <w:bookmarkStart w:id="2" w:name="_Hlk94078822"/>
      <w:bookmarkStart w:id="3" w:name="_Hlk94081611"/>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融媒体中心设备购置项目</w:t>
      </w:r>
      <w:bookmarkEnd w:id="2"/>
      <w:r>
        <w:rPr>
          <w:rFonts w:hint="eastAsia" w:ascii="仿宋_GB2312" w:hAnsi="仿宋_GB2312" w:eastAsia="仿宋_GB2312" w:cs="仿宋_GB2312"/>
          <w:sz w:val="32"/>
          <w:szCs w:val="32"/>
        </w:rPr>
        <w:t>主要是通过采编播设备购置，加强重大事项宣传策划和日常新闻宣传报道的同时丰富广播、电视节目，进一步加快传统媒体和新媒体的融合发展，提升县融媒体中心的引导力、传播力、公信力、影响力。</w:t>
      </w:r>
    </w:p>
    <w:bookmarkEnd w:id="3"/>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（3）项目实施的环境效益</w:t>
      </w:r>
    </w:p>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融媒体中心新闻采编播设备购置项目能全部满足生态建设要求。</w:t>
      </w:r>
    </w:p>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（4）项目实施的</w:t>
      </w:r>
      <w:bookmarkStart w:id="4" w:name="_Hlk94082089"/>
      <w:r>
        <w:rPr>
          <w:rFonts w:hint="eastAsia" w:ascii="仿宋_GB2312" w:hAnsi="仿宋_GB2312" w:eastAsia="仿宋_GB2312" w:cs="仿宋_GB2312"/>
          <w:sz w:val="32"/>
          <w:szCs w:val="32"/>
        </w:rPr>
        <w:t>可持续影响</w:t>
      </w:r>
      <w:bookmarkEnd w:id="4"/>
    </w:p>
    <w:p>
      <w:pPr>
        <w:autoSpaceDE w:val="0"/>
        <w:autoSpaceDN w:val="0"/>
        <w:adjustRightInd w:val="0"/>
        <w:spacing w:line="64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通过实施融媒体中心新闻采编播设备购置项目，更好的引导群众、服务群众，立足传统媒体，借力新兴媒体，实现全媒体融合发展，满足了人民群众的文化需求。将按照中央加强对县级融媒体中心建设做出的重大决策部署，继续抓好广播电视新闻宣传工作，确保工作任务落到实处。</w:t>
      </w:r>
    </w:p>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）满意度目标情况</w:t>
      </w:r>
    </w:p>
    <w:p>
      <w:pPr>
        <w:tabs>
          <w:tab w:val="left" w:pos="793"/>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公众满意度为100%。</w:t>
      </w:r>
    </w:p>
    <w:p>
      <w:pPr>
        <w:spacing w:line="64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二、项目资金情况</w:t>
      </w:r>
    </w:p>
    <w:p>
      <w:pPr>
        <w:spacing w:line="640" w:lineRule="exact"/>
        <w:ind w:firstLine="640" w:firstLineChars="200"/>
        <w:rPr>
          <w:rFonts w:asci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通过实施融媒体中心设备购置项目资金，根据县级资金批复，202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年下达</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万元资金全部到位。</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2.项目资金支出使用情况</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资金的申请和拨付严格执行规定程序，融媒体中心新闻采编播设备购置</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万元，用于购买</w:t>
      </w:r>
      <w:r>
        <w:rPr>
          <w:rFonts w:hint="eastAsia" w:ascii="仿宋_GB2312" w:hAnsi="仿宋_GB2312" w:eastAsia="仿宋_GB2312" w:cs="仿宋_GB2312"/>
          <w:sz w:val="32"/>
          <w:szCs w:val="32"/>
          <w:lang w:eastAsia="zh-CN"/>
        </w:rPr>
        <w:t>摄像机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航拍器、数码相机、移动编辑站、无线图传</w:t>
      </w:r>
      <w:r>
        <w:rPr>
          <w:rFonts w:hint="eastAsia" w:ascii="仿宋_GB2312" w:hAnsi="仿宋_GB2312" w:eastAsia="仿宋_GB2312" w:cs="仿宋_GB2312"/>
          <w:sz w:val="32"/>
          <w:szCs w:val="32"/>
        </w:rPr>
        <w:t>等新闻采编播设备。我单位根据县财政部门的要求，明确资金使用范围、使用标准及拨付流程，较好地保证了财务信息的真实性、及时性和完整性，没有资金挤占挪用情况。</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三、绩效目标完成情况及效益分析</w:t>
      </w:r>
    </w:p>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经济效益分析</w:t>
      </w:r>
    </w:p>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融媒体中心设备购置项目实施，</w:t>
      </w:r>
      <w:r>
        <w:rPr>
          <w:rFonts w:ascii="仿宋_GB2312" w:hAnsi="仿宋_GB2312" w:eastAsia="仿宋_GB2312" w:cs="仿宋_GB2312"/>
          <w:sz w:val="32"/>
          <w:szCs w:val="32"/>
        </w:rPr>
        <w:t>推动了传统媒体、新媒体在内容、渠道、平台、管理、技术、人才等方面的融合共享。从而以更多更好的内容和服务来满足人民群众日益增长的精神文化生活需求，促进县域经济、文化发展。</w:t>
      </w:r>
    </w:p>
    <w:p>
      <w:pPr>
        <w:shd w:val="clear" w:color="auto" w:fill="FFFFFF"/>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社会效益分析</w:t>
      </w:r>
    </w:p>
    <w:p>
      <w:pPr>
        <w:pStyle w:val="2"/>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ascii="仿宋_GB2312" w:hAnsi="仿宋_GB2312" w:eastAsia="仿宋_GB2312" w:cs="仿宋_GB2312"/>
          <w:sz w:val="32"/>
          <w:szCs w:val="32"/>
        </w:rPr>
        <w:t>融媒体中心</w:t>
      </w:r>
      <w:r>
        <w:rPr>
          <w:rFonts w:hint="eastAsia" w:ascii="仿宋_GB2312" w:hAnsi="仿宋_GB2312" w:eastAsia="仿宋_GB2312" w:cs="仿宋_GB2312"/>
          <w:sz w:val="32"/>
          <w:szCs w:val="32"/>
          <w:lang w:eastAsia="zh-CN"/>
        </w:rPr>
        <w:t>设备购置项目</w:t>
      </w:r>
      <w:r>
        <w:rPr>
          <w:rFonts w:ascii="仿宋_GB2312" w:hAnsi="仿宋_GB2312" w:eastAsia="仿宋_GB2312" w:cs="仿宋_GB2312"/>
          <w:sz w:val="32"/>
          <w:szCs w:val="32"/>
        </w:rPr>
        <w:t>，使广播电视传统媒体与新媒体有机融合，大大增强了媒体的辐射力、传播力、引导力和公信力，提高了广大人民群众生活品质和幸福指数。</w:t>
      </w:r>
    </w:p>
    <w:p>
      <w:pPr>
        <w:shd w:val="clear" w:color="auto" w:fill="FFFFFF"/>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生态效益分析</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通过融媒体中心设备购置项目实施，全部满足群众信息化需求。</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可持续影响及社会公众分析</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构建集策划、采集、编辑、发布、追踪、互评流程的多渠道全域宣传平台，形成一次采集、多元生成、多渠道传播的工作平台，实现移动优先、移动直播、广播互动、新媒体报道、电视跟进、平媒充实的无缝覆盖。</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服务对象满意度分析</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通过实施该项目，群众对信息化服务满意度</w:t>
      </w:r>
      <w:r>
        <w:rPr>
          <w:rFonts w:hint="eastAsia" w:ascii="仿宋_GB2312" w:hAnsi="仿宋_GB2312" w:eastAsia="仿宋_GB2312" w:cs="仿宋_GB2312"/>
          <w:sz w:val="32"/>
          <w:szCs w:val="32"/>
          <w:lang w:val="en-US" w:eastAsia="zh-CN"/>
        </w:rPr>
        <w:t>90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四、自评结论</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按照“移动优先”和“一地一端”原则，依托省级技术平台，</w:t>
      </w:r>
      <w:r>
        <w:rPr>
          <w:rFonts w:hint="default" w:ascii="仿宋_GB2312" w:hAnsi="仿宋_GB2312" w:eastAsia="仿宋_GB2312" w:cs="仿宋_GB2312"/>
          <w:color w:val="000000"/>
          <w:kern w:val="2"/>
          <w:sz w:val="32"/>
          <w:szCs w:val="32"/>
          <w:lang w:val="en-US" w:eastAsia="zh-CN" w:bidi="ar-SA"/>
        </w:rPr>
        <w:t>至目前，快手账号“丝路话语”粉丝突破</w:t>
      </w:r>
      <w:r>
        <w:rPr>
          <w:rFonts w:hint="eastAsia" w:ascii="仿宋_GB2312" w:hAnsi="仿宋_GB2312" w:eastAsia="仿宋_GB2312" w:cs="仿宋_GB2312"/>
          <w:color w:val="000000"/>
          <w:kern w:val="2"/>
          <w:sz w:val="32"/>
          <w:szCs w:val="32"/>
          <w:lang w:val="en-US" w:eastAsia="zh-CN" w:bidi="ar-SA"/>
        </w:rPr>
        <w:t>120</w:t>
      </w:r>
      <w:r>
        <w:rPr>
          <w:rFonts w:hint="default" w:ascii="仿宋_GB2312" w:hAnsi="仿宋_GB2312" w:eastAsia="仿宋_GB2312" w:cs="仿宋_GB2312"/>
          <w:color w:val="000000"/>
          <w:kern w:val="2"/>
          <w:sz w:val="32"/>
          <w:szCs w:val="32"/>
          <w:lang w:val="en-US" w:eastAsia="zh-CN" w:bidi="ar-SA"/>
        </w:rPr>
        <w:t>万，</w:t>
      </w:r>
      <w:r>
        <w:rPr>
          <w:rFonts w:hint="default" w:ascii="仿宋_GB2312" w:hAnsi="仿宋_GB2312" w:eastAsia="仿宋_GB2312" w:cs="仿宋_GB2312"/>
          <w:color w:val="000000"/>
          <w:kern w:val="2"/>
          <w:sz w:val="32"/>
          <w:szCs w:val="32"/>
          <w:lang w:eastAsia="zh-CN" w:bidi="ar-SA"/>
        </w:rPr>
        <w:t>获评“全省文明账号”，</w:t>
      </w:r>
      <w:r>
        <w:rPr>
          <w:rFonts w:hint="default" w:ascii="仿宋_GB2312" w:hAnsi="仿宋_GB2312" w:eastAsia="仿宋_GB2312" w:cs="仿宋_GB2312"/>
          <w:color w:val="000000"/>
          <w:kern w:val="2"/>
          <w:sz w:val="32"/>
          <w:szCs w:val="32"/>
          <w:lang w:val="en-US" w:eastAsia="zh-CN" w:bidi="ar-SA"/>
        </w:rPr>
        <w:t>发布短视频8600多条，点赞1500多万，播放量超8亿次</w:t>
      </w:r>
      <w:r>
        <w:rPr>
          <w:rFonts w:hint="default" w:ascii="仿宋_GB2312" w:hAnsi="仿宋_GB2312" w:eastAsia="仿宋_GB2312" w:cs="仿宋_GB2312"/>
          <w:color w:val="000000"/>
          <w:kern w:val="2"/>
          <w:sz w:val="32"/>
          <w:szCs w:val="32"/>
          <w:lang w:eastAsia="zh-CN" w:bidi="ar-SA"/>
        </w:rPr>
        <w:t>；</w:t>
      </w:r>
      <w:r>
        <w:rPr>
          <w:rFonts w:hint="default" w:ascii="仿宋_GB2312" w:hAnsi="仿宋_GB2312" w:eastAsia="仿宋_GB2312" w:cs="仿宋_GB2312"/>
          <w:color w:val="000000"/>
          <w:kern w:val="2"/>
          <w:sz w:val="32"/>
          <w:szCs w:val="32"/>
          <w:lang w:val="en-US" w:eastAsia="zh-CN" w:bidi="ar-SA"/>
        </w:rPr>
        <w:t>新山丹APP共发布稿件及融媒体产品6.8万篇，阅读量达500多万次，分享10万多次，留言评论4万多条，下载用户4.3万人次；今日山丹、山丹发布微信公众号用户关注数</w:t>
      </w:r>
      <w:r>
        <w:rPr>
          <w:rFonts w:hint="eastAsia" w:ascii="仿宋_GB2312" w:hAnsi="仿宋_GB2312" w:eastAsia="仿宋_GB2312" w:cs="仿宋_GB2312"/>
          <w:color w:val="000000"/>
          <w:kern w:val="2"/>
          <w:sz w:val="32"/>
          <w:szCs w:val="32"/>
          <w:lang w:val="en-US" w:eastAsia="zh-CN" w:bidi="ar-SA"/>
        </w:rPr>
        <w:t>9.3</w:t>
      </w:r>
      <w:r>
        <w:rPr>
          <w:rFonts w:hint="default" w:ascii="仿宋_GB2312" w:hAnsi="仿宋_GB2312" w:eastAsia="仿宋_GB2312" w:cs="仿宋_GB2312"/>
          <w:color w:val="000000"/>
          <w:kern w:val="2"/>
          <w:sz w:val="32"/>
          <w:szCs w:val="32"/>
          <w:lang w:val="en-US" w:eastAsia="zh-CN" w:bidi="ar-SA"/>
        </w:rPr>
        <w:t>万人次，共发布稿件15000多篇，浏览量620多万次；抖音账号“丝路话语”粉丝突破</w:t>
      </w:r>
      <w:r>
        <w:rPr>
          <w:rFonts w:hint="eastAsia" w:ascii="仿宋_GB2312" w:hAnsi="仿宋_GB2312" w:eastAsia="仿宋_GB2312" w:cs="仿宋_GB2312"/>
          <w:color w:val="000000"/>
          <w:kern w:val="2"/>
          <w:sz w:val="32"/>
          <w:szCs w:val="32"/>
          <w:lang w:val="en-US" w:eastAsia="zh-CN" w:bidi="ar-SA"/>
        </w:rPr>
        <w:t>257</w:t>
      </w:r>
      <w:r>
        <w:rPr>
          <w:rFonts w:hint="default" w:ascii="仿宋_GB2312" w:hAnsi="仿宋_GB2312" w:eastAsia="仿宋_GB2312" w:cs="仿宋_GB2312"/>
          <w:color w:val="000000"/>
          <w:kern w:val="2"/>
          <w:sz w:val="32"/>
          <w:szCs w:val="32"/>
          <w:lang w:val="en-US" w:eastAsia="zh-CN" w:bidi="ar-SA"/>
        </w:rPr>
        <w:t>万，发布短视频13000多条，点赞5700多万，播放量超12亿次。</w:t>
      </w:r>
    </w:p>
    <w:p>
      <w:pPr>
        <w:pStyle w:val="10"/>
        <w:spacing w:line="600" w:lineRule="exact"/>
        <w:rPr>
          <w:rFonts w:ascii="楷体_GB2312" w:hAnsi="仿宋" w:eastAsia="楷体_GB2312" w:cs="Times New Roman"/>
          <w:b/>
          <w:sz w:val="32"/>
          <w:szCs w:val="32"/>
        </w:rPr>
      </w:pPr>
      <w:r>
        <w:rPr>
          <w:rFonts w:hint="eastAsia" w:ascii="仿宋_GB2312" w:eastAsia="仿宋_GB2312"/>
          <w:sz w:val="32"/>
          <w:szCs w:val="32"/>
        </w:rPr>
        <w:t>进一步优化《山丹新闻》传播效果，形成了“时政新闻+经济新闻+民生新闻+口播新闻+片尾”板块式播出模式，</w:t>
      </w:r>
      <w:r>
        <w:rPr>
          <w:rFonts w:hint="eastAsia" w:ascii="仿宋_GB2312" w:hAnsi="仿宋_GB2312" w:eastAsia="仿宋_GB2312" w:cs="仿宋_GB2312"/>
          <w:sz w:val="32"/>
          <w:szCs w:val="32"/>
        </w:rPr>
        <w:t>力求新闻作品鲜活、接地气，有思想、有温度、有品质。通过融媒体中心</w:t>
      </w:r>
      <w:r>
        <w:rPr>
          <w:rFonts w:hint="eastAsia" w:ascii="仿宋_GB2312" w:hAnsi="仿宋_GB2312" w:eastAsia="仿宋_GB2312" w:cs="仿宋_GB2312"/>
          <w:sz w:val="32"/>
          <w:szCs w:val="32"/>
          <w:lang w:eastAsia="zh-CN"/>
        </w:rPr>
        <w:t>建设资金</w:t>
      </w:r>
      <w:r>
        <w:rPr>
          <w:rFonts w:hint="eastAsia" w:ascii="仿宋_GB2312" w:hAnsi="仿宋_GB2312" w:eastAsia="仿宋_GB2312" w:cs="仿宋_GB2312"/>
          <w:sz w:val="32"/>
          <w:szCs w:val="32"/>
        </w:rPr>
        <w:t>项目项目总体评分为 9</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五、存在的问题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县融媒体中心虽然在全省县级融媒体中心建设中取得了一些成绩，但离形势发展的需要和上级部门的要求，以及群众的期盼我们还存在很大的差距和不足</w:t>
      </w:r>
      <w:r>
        <w:rPr>
          <w:rFonts w:ascii="仿宋_GB2312" w:hAnsi="仿宋_GB2312" w:eastAsia="仿宋_GB2312" w:cs="仿宋_GB2312"/>
          <w:sz w:val="32"/>
          <w:szCs w:val="32"/>
        </w:rPr>
        <w:t>，特别是全省各县区融媒体中心已逐步适应新形势下的融媒体发展趋势，后发优势日渐明显。受历史遗留问题、人员、经费、体制机制等多方面的因素制约，我们正在失去先发优势，全省县级融媒体传播力榜单中的总榜和六个子榜单位</w:t>
      </w:r>
      <w:r>
        <w:rPr>
          <w:rFonts w:hint="eastAsia" w:ascii="仿宋_GB2312" w:hAnsi="仿宋_GB2312" w:eastAsia="仿宋_GB2312" w:cs="仿宋_GB2312"/>
          <w:sz w:val="32"/>
          <w:szCs w:val="32"/>
        </w:rPr>
        <w:t>次总体呈下降趋势。</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六、下一步改进工作的措施</w:t>
      </w:r>
    </w:p>
    <w:p>
      <w:pPr>
        <w:pStyle w:val="5"/>
        <w:widowControl/>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创新为突破，增强融媒生产能力。以用户为中心，提高服务群众能力。不断提升“七大平台”综合传播实力，加强传播手段和表现形式创新，加大融媒产品开发力度，优化自办栏目，加强《山丹新闻》采编能力，推出一批接地气、带露珠、冒热气，群众喜闻乐见、入脑入心的融媒体产品，为县域经济高质量发展作出更大的贡献！</w:t>
      </w:r>
    </w:p>
    <w:p>
      <w:pPr>
        <w:spacing w:line="58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sz w:val="32"/>
          <w:szCs w:val="32"/>
        </w:rPr>
      </w:pPr>
    </w:p>
    <w:p>
      <w:pPr>
        <w:spacing w:line="570" w:lineRule="exact"/>
        <w:ind w:firstLine="4800" w:firstLineChars="1500"/>
        <w:rPr>
          <w:rFonts w:ascii="仿宋_GB2312" w:hAnsi="宋体" w:eastAsia="仿宋_GB2312" w:cs="楷体"/>
          <w:sz w:val="32"/>
          <w:szCs w:val="32"/>
        </w:rPr>
      </w:pPr>
      <w:r>
        <w:rPr>
          <w:rFonts w:hint="eastAsia" w:ascii="仿宋_GB2312" w:hAnsi="宋体" w:eastAsia="仿宋_GB2312" w:cs="楷体"/>
          <w:sz w:val="32"/>
          <w:szCs w:val="32"/>
        </w:rPr>
        <w:t>山丹县融媒体中心</w:t>
      </w:r>
    </w:p>
    <w:p>
      <w:pPr>
        <w:spacing w:line="570" w:lineRule="exact"/>
        <w:ind w:firstLine="4800" w:firstLineChars="1500"/>
        <w:rPr>
          <w:rFonts w:ascii="仿宋_GB2312" w:hAnsi="宋体" w:eastAsia="仿宋_GB2312" w:cs="楷体"/>
          <w:sz w:val="32"/>
          <w:szCs w:val="32"/>
        </w:rPr>
      </w:pPr>
      <w:r>
        <w:rPr>
          <w:rFonts w:ascii="仿宋_GB2312" w:hAnsi="宋体" w:eastAsia="仿宋_GB2312" w:cs="楷体"/>
          <w:sz w:val="32"/>
          <w:szCs w:val="32"/>
        </w:rPr>
        <w:t>202</w:t>
      </w:r>
      <w:r>
        <w:rPr>
          <w:rFonts w:hint="eastAsia" w:ascii="仿宋_GB2312" w:hAnsi="宋体" w:eastAsia="仿宋_GB2312" w:cs="楷体"/>
          <w:sz w:val="32"/>
          <w:szCs w:val="32"/>
          <w:lang w:val="en-US" w:eastAsia="zh-CN"/>
        </w:rPr>
        <w:t>3</w:t>
      </w:r>
      <w:r>
        <w:rPr>
          <w:rFonts w:ascii="仿宋_GB2312" w:hAnsi="宋体" w:eastAsia="仿宋_GB2312" w:cs="楷体"/>
          <w:sz w:val="32"/>
          <w:szCs w:val="32"/>
        </w:rPr>
        <w:t>年1</w:t>
      </w:r>
      <w:r>
        <w:rPr>
          <w:rFonts w:hint="eastAsia" w:ascii="仿宋_GB2312" w:hAnsi="宋体" w:eastAsia="仿宋_GB2312" w:cs="楷体"/>
          <w:sz w:val="32"/>
          <w:szCs w:val="32"/>
        </w:rPr>
        <w:t>2</w:t>
      </w:r>
      <w:r>
        <w:rPr>
          <w:rFonts w:ascii="仿宋_GB2312" w:hAnsi="宋体" w:eastAsia="仿宋_GB2312" w:cs="楷体"/>
          <w:sz w:val="32"/>
          <w:szCs w:val="32"/>
        </w:rPr>
        <w:t>月</w:t>
      </w:r>
      <w:r>
        <w:rPr>
          <w:rFonts w:hint="eastAsia" w:ascii="仿宋_GB2312" w:hAnsi="宋体" w:eastAsia="仿宋_GB2312" w:cs="楷体"/>
          <w:sz w:val="32"/>
          <w:szCs w:val="32"/>
          <w:lang w:val="en-US" w:eastAsia="zh-CN"/>
        </w:rPr>
        <w:t>25</w:t>
      </w:r>
      <w:r>
        <w:rPr>
          <w:rFonts w:ascii="仿宋_GB2312" w:hAnsi="宋体" w:eastAsia="仿宋_GB2312" w:cs="楷体"/>
          <w:sz w:val="32"/>
          <w:szCs w:val="32"/>
        </w:rPr>
        <w:t>日</w:t>
      </w: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NiYzkxNWRjMjkyNzBjNzRjZjQ3YTJmNDZjMzk1ZTgifQ=="/>
  </w:docVars>
  <w:rsids>
    <w:rsidRoot w:val="0ECA2393"/>
    <w:rsid w:val="00005FA9"/>
    <w:rsid w:val="0001489F"/>
    <w:rsid w:val="0001600C"/>
    <w:rsid w:val="00055413"/>
    <w:rsid w:val="0009280B"/>
    <w:rsid w:val="000A7557"/>
    <w:rsid w:val="000B29BA"/>
    <w:rsid w:val="000C090A"/>
    <w:rsid w:val="000C5FB6"/>
    <w:rsid w:val="000F0D99"/>
    <w:rsid w:val="000F6C11"/>
    <w:rsid w:val="00166D59"/>
    <w:rsid w:val="00182C8D"/>
    <w:rsid w:val="001F0E91"/>
    <w:rsid w:val="002114C3"/>
    <w:rsid w:val="00237B6C"/>
    <w:rsid w:val="00255916"/>
    <w:rsid w:val="00260988"/>
    <w:rsid w:val="002826FC"/>
    <w:rsid w:val="00286CA1"/>
    <w:rsid w:val="002C691B"/>
    <w:rsid w:val="00344426"/>
    <w:rsid w:val="003720C5"/>
    <w:rsid w:val="003C6F23"/>
    <w:rsid w:val="00411529"/>
    <w:rsid w:val="00481F21"/>
    <w:rsid w:val="004A2A16"/>
    <w:rsid w:val="00530E72"/>
    <w:rsid w:val="005516D9"/>
    <w:rsid w:val="005620FB"/>
    <w:rsid w:val="005A52C2"/>
    <w:rsid w:val="005B7E40"/>
    <w:rsid w:val="00606FBB"/>
    <w:rsid w:val="00610D90"/>
    <w:rsid w:val="00670D46"/>
    <w:rsid w:val="006803FF"/>
    <w:rsid w:val="006C7440"/>
    <w:rsid w:val="00707B06"/>
    <w:rsid w:val="00717940"/>
    <w:rsid w:val="00731B1D"/>
    <w:rsid w:val="007B2162"/>
    <w:rsid w:val="00810656"/>
    <w:rsid w:val="00845E9F"/>
    <w:rsid w:val="00854E14"/>
    <w:rsid w:val="008C120E"/>
    <w:rsid w:val="008C12AC"/>
    <w:rsid w:val="00947FB5"/>
    <w:rsid w:val="00985D48"/>
    <w:rsid w:val="009879AD"/>
    <w:rsid w:val="00992EAE"/>
    <w:rsid w:val="009B61A6"/>
    <w:rsid w:val="009F449D"/>
    <w:rsid w:val="00A00027"/>
    <w:rsid w:val="00A0113A"/>
    <w:rsid w:val="00A01D3E"/>
    <w:rsid w:val="00A179DC"/>
    <w:rsid w:val="00A23378"/>
    <w:rsid w:val="00A34770"/>
    <w:rsid w:val="00A373A8"/>
    <w:rsid w:val="00A92337"/>
    <w:rsid w:val="00AB6EF1"/>
    <w:rsid w:val="00AB713D"/>
    <w:rsid w:val="00AC056A"/>
    <w:rsid w:val="00B4239C"/>
    <w:rsid w:val="00B81339"/>
    <w:rsid w:val="00B8298D"/>
    <w:rsid w:val="00BE0439"/>
    <w:rsid w:val="00C02852"/>
    <w:rsid w:val="00C0322A"/>
    <w:rsid w:val="00C07EC9"/>
    <w:rsid w:val="00C148AF"/>
    <w:rsid w:val="00C73357"/>
    <w:rsid w:val="00CC1FE4"/>
    <w:rsid w:val="00CD43E1"/>
    <w:rsid w:val="00D64291"/>
    <w:rsid w:val="00DB734B"/>
    <w:rsid w:val="00DC24FB"/>
    <w:rsid w:val="00DD6F0E"/>
    <w:rsid w:val="00DE735A"/>
    <w:rsid w:val="00E01F1C"/>
    <w:rsid w:val="00E04BD2"/>
    <w:rsid w:val="00E17F79"/>
    <w:rsid w:val="00E72506"/>
    <w:rsid w:val="00E84386"/>
    <w:rsid w:val="00EA0BD0"/>
    <w:rsid w:val="00EA2F26"/>
    <w:rsid w:val="00F15CE2"/>
    <w:rsid w:val="00F758B5"/>
    <w:rsid w:val="00FA158F"/>
    <w:rsid w:val="00FA5245"/>
    <w:rsid w:val="00FC53BB"/>
    <w:rsid w:val="00FD0811"/>
    <w:rsid w:val="0ECA2393"/>
    <w:rsid w:val="18CC50EE"/>
    <w:rsid w:val="50D17EA8"/>
    <w:rsid w:val="72A6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99"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7">
    <w:name w:val="Default Paragraph Font"/>
    <w:autoRedefine/>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autoRedefine/>
    <w:semiHidden/>
    <w:qFormat/>
    <w:uiPriority w:val="99"/>
    <w:pPr>
      <w:overflowPunct w:val="0"/>
      <w:spacing w:line="550" w:lineRule="exact"/>
      <w:jc w:val="center"/>
    </w:pPr>
    <w:rPr>
      <w:rFonts w:ascii="黑体" w:eastAsia="黑体" w:cs="黑体"/>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asciiTheme="minorHAnsi"/>
      <w:kern w:val="0"/>
      <w:sz w:val="24"/>
      <w:szCs w:val="24"/>
    </w:rPr>
  </w:style>
  <w:style w:type="character" w:customStyle="1" w:styleId="8">
    <w:name w:val="页眉 Char"/>
    <w:basedOn w:val="7"/>
    <w:link w:val="4"/>
    <w:autoRedefine/>
    <w:qFormat/>
    <w:uiPriority w:val="0"/>
    <w:rPr>
      <w:rFonts w:ascii="Calibri"/>
      <w:kern w:val="2"/>
      <w:sz w:val="18"/>
      <w:szCs w:val="18"/>
    </w:rPr>
  </w:style>
  <w:style w:type="character" w:customStyle="1" w:styleId="9">
    <w:name w:val="页脚 Char"/>
    <w:basedOn w:val="7"/>
    <w:link w:val="3"/>
    <w:qFormat/>
    <w:uiPriority w:val="0"/>
    <w:rPr>
      <w:rFonts w:ascii="Calibri"/>
      <w:kern w:val="2"/>
      <w:sz w:val="18"/>
      <w:szCs w:val="18"/>
    </w:rPr>
  </w:style>
  <w:style w:type="paragraph" w:styleId="10">
    <w:name w:val="No Spacing"/>
    <w:autoRedefine/>
    <w:qFormat/>
    <w:uiPriority w:val="1"/>
    <w:pPr>
      <w:widowControl w:val="0"/>
      <w:jc w:val="both"/>
    </w:pPr>
    <w:rPr>
      <w:rFonts w:ascii="Book Antiqua" w:hAnsi="Book Antiqua" w:eastAsia="宋体" w:cs="Book Antiqua"/>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339</Words>
  <Characters>1935</Characters>
  <Lines>16</Lines>
  <Paragraphs>4</Paragraphs>
  <TotalTime>11</TotalTime>
  <ScaleCrop>false</ScaleCrop>
  <LinksUpToDate>false</LinksUpToDate>
  <CharactersWithSpaces>2270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天空</cp:lastModifiedBy>
  <cp:lastPrinted>2022-01-25T08:09:00Z</cp:lastPrinted>
  <dcterms:modified xsi:type="dcterms:W3CDTF">2024-01-05T03:09:19Z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E4003664E9074E2D82C2335697BCB37F</vt:lpwstr>
  </property>
</Properties>
</file>