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96" w:rsidRPr="00A77924" w:rsidRDefault="00CC6696" w:rsidP="00A77924">
      <w:pPr>
        <w:spacing w:after="0" w:line="520" w:lineRule="exact"/>
        <w:rPr>
          <w:rFonts w:ascii="黑体" w:eastAsia="黑体" w:hAnsi="黑体"/>
          <w:color w:val="000000"/>
          <w:sz w:val="32"/>
          <w:szCs w:val="32"/>
        </w:rPr>
      </w:pPr>
      <w:r w:rsidRPr="00A77924">
        <w:rPr>
          <w:rFonts w:ascii="黑体" w:eastAsia="黑体" w:hAnsi="黑体" w:cs="黑体" w:hint="eastAsia"/>
          <w:color w:val="000000"/>
          <w:sz w:val="32"/>
          <w:szCs w:val="32"/>
        </w:rPr>
        <w:t>附件</w:t>
      </w:r>
    </w:p>
    <w:p w:rsidR="00CC6696" w:rsidRPr="00A77924" w:rsidRDefault="00CC6696" w:rsidP="000355A9">
      <w:pPr>
        <w:spacing w:after="0" w:line="800" w:lineRule="exact"/>
        <w:jc w:val="center"/>
        <w:rPr>
          <w:rFonts w:ascii="方正小标宋简体" w:eastAsia="方正小标宋简体" w:hAnsi="宋体"/>
          <w:color w:val="000000"/>
          <w:sz w:val="32"/>
          <w:szCs w:val="32"/>
        </w:rPr>
      </w:pPr>
      <w:r w:rsidRPr="00A77924">
        <w:rPr>
          <w:rFonts w:ascii="方正小标宋简体" w:eastAsia="方正小标宋简体" w:hAnsi="宋体" w:cs="方正小标宋简体" w:hint="eastAsia"/>
          <w:color w:val="000000"/>
          <w:sz w:val="32"/>
          <w:szCs w:val="32"/>
        </w:rPr>
        <w:t>《山丹县“十三五”残疾人事业发展规划》重点任务分工</w:t>
      </w:r>
    </w:p>
    <w:tbl>
      <w:tblPr>
        <w:tblW w:w="10213" w:type="dxa"/>
        <w:jc w:val="center"/>
        <w:tblLayout w:type="fixed"/>
        <w:tblCellMar>
          <w:top w:w="28" w:type="dxa"/>
          <w:left w:w="0" w:type="dxa"/>
          <w:bottom w:w="28" w:type="dxa"/>
          <w:right w:w="0" w:type="dxa"/>
        </w:tblCellMar>
        <w:tblLook w:val="0000"/>
      </w:tblPr>
      <w:tblGrid>
        <w:gridCol w:w="504"/>
        <w:gridCol w:w="6772"/>
        <w:gridCol w:w="2937"/>
      </w:tblGrid>
      <w:tr w:rsidR="00CC6696" w:rsidRPr="00A77924">
        <w:trPr>
          <w:trHeight w:val="174"/>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b/>
                <w:bCs/>
                <w:color w:val="000000"/>
                <w:sz w:val="21"/>
                <w:szCs w:val="21"/>
              </w:rPr>
            </w:pPr>
            <w:r w:rsidRPr="00A77924">
              <w:rPr>
                <w:rFonts w:ascii="仿宋_GB2312" w:eastAsia="仿宋_GB2312" w:hAnsi="宋体" w:cs="仿宋_GB2312" w:hint="eastAsia"/>
                <w:b/>
                <w:bCs/>
                <w:color w:val="000000"/>
                <w:sz w:val="21"/>
                <w:szCs w:val="21"/>
              </w:rPr>
              <w:t>序号</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jc w:val="center"/>
              <w:rPr>
                <w:rFonts w:ascii="仿宋_GB2312" w:eastAsia="仿宋_GB2312" w:hAnsi="宋体"/>
                <w:b/>
                <w:bCs/>
                <w:color w:val="000000"/>
                <w:sz w:val="21"/>
                <w:szCs w:val="21"/>
              </w:rPr>
            </w:pPr>
            <w:r w:rsidRPr="00A77924">
              <w:rPr>
                <w:rFonts w:ascii="仿宋_GB2312" w:eastAsia="仿宋_GB2312" w:hAnsi="宋体" w:cs="仿宋_GB2312" w:hint="eastAsia"/>
                <w:b/>
                <w:bCs/>
                <w:color w:val="000000"/>
                <w:sz w:val="21"/>
                <w:szCs w:val="21"/>
              </w:rPr>
              <w:t>工</w:t>
            </w:r>
            <w:r w:rsidRPr="00A77924">
              <w:rPr>
                <w:rFonts w:ascii="仿宋_GB2312" w:eastAsia="仿宋_GB2312" w:hAnsi="宋体" w:cs="仿宋_GB2312"/>
                <w:b/>
                <w:bCs/>
                <w:color w:val="000000"/>
                <w:sz w:val="21"/>
                <w:szCs w:val="21"/>
              </w:rPr>
              <w:t xml:space="preserve"> </w:t>
            </w:r>
            <w:r w:rsidRPr="00A77924">
              <w:rPr>
                <w:rFonts w:ascii="仿宋_GB2312" w:eastAsia="仿宋_GB2312" w:hAnsi="宋体" w:cs="仿宋_GB2312" w:hint="eastAsia"/>
                <w:b/>
                <w:bCs/>
                <w:color w:val="000000"/>
                <w:sz w:val="21"/>
                <w:szCs w:val="21"/>
              </w:rPr>
              <w:t>作</w:t>
            </w:r>
            <w:r w:rsidRPr="00A77924">
              <w:rPr>
                <w:rFonts w:ascii="仿宋_GB2312" w:eastAsia="仿宋_GB2312" w:hAnsi="宋体" w:cs="仿宋_GB2312"/>
                <w:b/>
                <w:bCs/>
                <w:color w:val="000000"/>
                <w:sz w:val="21"/>
                <w:szCs w:val="21"/>
              </w:rPr>
              <w:t xml:space="preserve"> </w:t>
            </w:r>
            <w:r w:rsidRPr="00A77924">
              <w:rPr>
                <w:rFonts w:ascii="仿宋_GB2312" w:eastAsia="仿宋_GB2312" w:hAnsi="宋体" w:cs="仿宋_GB2312" w:hint="eastAsia"/>
                <w:b/>
                <w:bCs/>
                <w:color w:val="000000"/>
                <w:sz w:val="21"/>
                <w:szCs w:val="21"/>
              </w:rPr>
              <w:t>任</w:t>
            </w:r>
            <w:r w:rsidRPr="00A77924">
              <w:rPr>
                <w:rFonts w:ascii="仿宋_GB2312" w:eastAsia="仿宋_GB2312" w:hAnsi="宋体" w:cs="仿宋_GB2312"/>
                <w:b/>
                <w:bCs/>
                <w:color w:val="000000"/>
                <w:sz w:val="21"/>
                <w:szCs w:val="21"/>
              </w:rPr>
              <w:t xml:space="preserve"> </w:t>
            </w:r>
            <w:proofErr w:type="gramStart"/>
            <w:r w:rsidRPr="00A77924">
              <w:rPr>
                <w:rFonts w:ascii="仿宋_GB2312" w:eastAsia="仿宋_GB2312" w:hAnsi="宋体" w:cs="仿宋_GB2312" w:hint="eastAsia"/>
                <w:b/>
                <w:bCs/>
                <w:color w:val="000000"/>
                <w:sz w:val="21"/>
                <w:szCs w:val="21"/>
              </w:rPr>
              <w:t>务</w:t>
            </w:r>
            <w:proofErr w:type="gramEnd"/>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jc w:val="center"/>
              <w:rPr>
                <w:rFonts w:ascii="仿宋_GB2312" w:eastAsia="仿宋_GB2312" w:hAnsi="宋体"/>
                <w:b/>
                <w:bCs/>
                <w:color w:val="000000"/>
                <w:sz w:val="21"/>
                <w:szCs w:val="21"/>
              </w:rPr>
            </w:pPr>
            <w:r w:rsidRPr="00A77924">
              <w:rPr>
                <w:rFonts w:ascii="仿宋_GB2312" w:eastAsia="仿宋_GB2312" w:hAnsi="宋体" w:cs="仿宋_GB2312" w:hint="eastAsia"/>
                <w:b/>
                <w:bCs/>
                <w:color w:val="000000"/>
                <w:sz w:val="21"/>
                <w:szCs w:val="21"/>
              </w:rPr>
              <w:t>负责单位</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生活困难、靠家庭供养且无法单独立户的成年无业重度残疾人，经个人申请，可按照单人户纳入最低生活保障范围。</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县民政局、县残联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全面实施困难残疾人生活补贴制度和重度残疾人护理补贴制度。</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县民政局、县财政局、县残联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3</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建立残疾儿童康复救助制度。</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县民政局、县财政局、</w:t>
            </w: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w:t>
            </w:r>
            <w:proofErr w:type="gramStart"/>
            <w:r w:rsidRPr="00A77924">
              <w:rPr>
                <w:rFonts w:ascii="仿宋_GB2312" w:eastAsia="仿宋_GB2312" w:hAnsi="宋体" w:cs="仿宋_GB2312" w:hint="eastAsia"/>
                <w:color w:val="000000"/>
                <w:sz w:val="21"/>
                <w:szCs w:val="21"/>
              </w:rPr>
              <w:t>县卫计委</w:t>
            </w:r>
            <w:proofErr w:type="gramEnd"/>
            <w:r w:rsidRPr="00A77924">
              <w:rPr>
                <w:rFonts w:ascii="仿宋_GB2312" w:eastAsia="仿宋_GB2312" w:hAnsi="宋体" w:cs="仿宋_GB2312" w:hint="eastAsia"/>
                <w:color w:val="000000"/>
                <w:sz w:val="21"/>
                <w:szCs w:val="21"/>
              </w:rPr>
              <w:t>、县残联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4</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制定实施盲人、聋人特定信息消费支持政策。</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县残联、县财政局、县工信局</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5</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落实符合条件的贫困和重度残疾人参加城乡居民社会保险个人缴费资助政策，帮助残疾人按规定参加各项社会保险。</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w:t>
            </w:r>
            <w:proofErr w:type="gramStart"/>
            <w:r w:rsidRPr="00A77924">
              <w:rPr>
                <w:rFonts w:ascii="仿宋_GB2312" w:eastAsia="仿宋_GB2312" w:hAnsi="宋体" w:cs="仿宋_GB2312" w:hint="eastAsia"/>
                <w:color w:val="000000"/>
                <w:sz w:val="21"/>
                <w:szCs w:val="21"/>
              </w:rPr>
              <w:t>人社局</w:t>
            </w:r>
            <w:proofErr w:type="gramEnd"/>
            <w:r w:rsidRPr="00A77924">
              <w:rPr>
                <w:rFonts w:ascii="仿宋_GB2312" w:eastAsia="仿宋_GB2312" w:hAnsi="宋体" w:cs="仿宋_GB2312" w:hint="eastAsia"/>
                <w:color w:val="000000"/>
                <w:sz w:val="21"/>
                <w:szCs w:val="21"/>
              </w:rPr>
              <w:t>、县民政局、县财政局、</w:t>
            </w:r>
            <w:proofErr w:type="gramStart"/>
            <w:r w:rsidRPr="00A77924">
              <w:rPr>
                <w:rFonts w:ascii="仿宋_GB2312" w:eastAsia="仿宋_GB2312" w:hAnsi="宋体" w:cs="仿宋_GB2312" w:hint="eastAsia"/>
                <w:color w:val="000000"/>
                <w:sz w:val="21"/>
                <w:szCs w:val="21"/>
              </w:rPr>
              <w:t>县卫计委</w:t>
            </w:r>
            <w:proofErr w:type="gramEnd"/>
            <w:r w:rsidRPr="00A77924">
              <w:rPr>
                <w:rFonts w:ascii="仿宋_GB2312" w:eastAsia="仿宋_GB2312" w:hAnsi="宋体" w:cs="仿宋_GB2312" w:hint="eastAsia"/>
                <w:color w:val="000000"/>
                <w:sz w:val="21"/>
                <w:szCs w:val="21"/>
              </w:rPr>
              <w:t>、县残联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6</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优先保障残疾人基本住房，到</w:t>
            </w:r>
            <w:r w:rsidRPr="00A77924">
              <w:rPr>
                <w:rFonts w:ascii="仿宋_GB2312" w:eastAsia="仿宋_GB2312" w:hAnsi="宋体" w:cs="仿宋_GB2312"/>
                <w:color w:val="000000"/>
                <w:sz w:val="21"/>
                <w:szCs w:val="21"/>
              </w:rPr>
              <w:t>2020</w:t>
            </w:r>
            <w:r w:rsidRPr="00A77924">
              <w:rPr>
                <w:rFonts w:ascii="仿宋_GB2312" w:eastAsia="仿宋_GB2312" w:hAnsi="宋体" w:cs="仿宋_GB2312" w:hint="eastAsia"/>
                <w:color w:val="000000"/>
                <w:sz w:val="21"/>
                <w:szCs w:val="21"/>
              </w:rPr>
              <w:t>年完成农村贫困残疾人家庭存量危房改造任务。</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县建设局、县财政局、县残联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7</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继续实施“阳光家园计划”，为盲、聋、智障等残疾老人提供养老服务。</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县民政局、县财政局、县残联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8</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确保农村建档立卡户贫困残疾人如期脱贫。</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县扶贫办、县民政局、县财政局、县残联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9</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党政机关、事业单位、国有企业带头招录（聘）和安置残疾人就业，建立用人单位按比例安排残疾人就业制度。</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w:t>
            </w:r>
            <w:proofErr w:type="gramStart"/>
            <w:r w:rsidRPr="00A77924">
              <w:rPr>
                <w:rFonts w:ascii="仿宋_GB2312" w:eastAsia="仿宋_GB2312" w:hAnsi="宋体" w:cs="仿宋_GB2312" w:hint="eastAsia"/>
                <w:color w:val="000000"/>
                <w:sz w:val="21"/>
                <w:szCs w:val="21"/>
              </w:rPr>
              <w:t>人社局</w:t>
            </w:r>
            <w:proofErr w:type="gramEnd"/>
            <w:r w:rsidRPr="00A77924">
              <w:rPr>
                <w:rFonts w:ascii="仿宋_GB2312" w:eastAsia="仿宋_GB2312" w:hAnsi="宋体" w:cs="仿宋_GB2312" w:hint="eastAsia"/>
                <w:color w:val="000000"/>
                <w:sz w:val="21"/>
                <w:szCs w:val="21"/>
              </w:rPr>
              <w:t>、县编办、县国资委、县财政局、县残联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10</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落实税收优惠政策，稳定发展残疾人集中就业。</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县国税局、县地税局、县民政局、县财政局、县残联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11</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建立一批残疾人创业孵化示范基地。鼓励残疾人利用网络就业创业。扶持残疾人社区就业、居家就业。</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县残联、县</w:t>
            </w:r>
            <w:proofErr w:type="gramStart"/>
            <w:r w:rsidRPr="00A77924">
              <w:rPr>
                <w:rFonts w:ascii="仿宋_GB2312" w:eastAsia="仿宋_GB2312" w:hAnsi="宋体" w:cs="仿宋_GB2312" w:hint="eastAsia"/>
                <w:color w:val="000000"/>
                <w:sz w:val="21"/>
                <w:szCs w:val="21"/>
              </w:rPr>
              <w:t>人社局</w:t>
            </w:r>
            <w:proofErr w:type="gramEnd"/>
            <w:r w:rsidRPr="00A77924">
              <w:rPr>
                <w:rFonts w:ascii="仿宋_GB2312" w:eastAsia="仿宋_GB2312" w:hAnsi="宋体" w:cs="仿宋_GB2312" w:hint="eastAsia"/>
                <w:color w:val="000000"/>
                <w:sz w:val="21"/>
                <w:szCs w:val="21"/>
              </w:rPr>
              <w:t>、县民政局、县工信局、县商务局</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12</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大力发展残疾人辅助性就业和多种形式就业，发展残疾人支持性就业，扶持残疾人亲属就业创业，实现</w:t>
            </w:r>
            <w:proofErr w:type="gramStart"/>
            <w:r w:rsidRPr="00A77924">
              <w:rPr>
                <w:rFonts w:ascii="仿宋_GB2312" w:eastAsia="仿宋_GB2312" w:hAnsi="宋体" w:cs="仿宋_GB2312" w:hint="eastAsia"/>
                <w:color w:val="000000"/>
                <w:sz w:val="21"/>
                <w:szCs w:val="21"/>
              </w:rPr>
              <w:t>零就业</w:t>
            </w:r>
            <w:proofErr w:type="gramEnd"/>
            <w:r w:rsidRPr="00A77924">
              <w:rPr>
                <w:rFonts w:ascii="仿宋_GB2312" w:eastAsia="仿宋_GB2312" w:hAnsi="宋体" w:cs="仿宋_GB2312" w:hint="eastAsia"/>
                <w:color w:val="000000"/>
                <w:sz w:val="21"/>
                <w:szCs w:val="21"/>
              </w:rPr>
              <w:t>残疾人家庭至少有一人就业。根据具体情况，选择符合条件的残疾人担任农村公共文化综合服务中心（乡村舞台、农家书屋）管理员。</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w:t>
            </w:r>
            <w:proofErr w:type="gramStart"/>
            <w:r w:rsidRPr="00A77924">
              <w:rPr>
                <w:rFonts w:ascii="仿宋_GB2312" w:eastAsia="仿宋_GB2312" w:hAnsi="宋体" w:cs="仿宋_GB2312" w:hint="eastAsia"/>
                <w:color w:val="000000"/>
                <w:sz w:val="21"/>
                <w:szCs w:val="21"/>
              </w:rPr>
              <w:t>人社局</w:t>
            </w:r>
            <w:proofErr w:type="gramEnd"/>
            <w:r w:rsidRPr="00A77924">
              <w:rPr>
                <w:rFonts w:ascii="仿宋_GB2312" w:eastAsia="仿宋_GB2312" w:hAnsi="宋体" w:cs="仿宋_GB2312" w:hint="eastAsia"/>
                <w:color w:val="000000"/>
                <w:sz w:val="21"/>
                <w:szCs w:val="21"/>
              </w:rPr>
              <w:t>、县财政局、县文广新局、县残联、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13</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实施残疾人职业技能提升计划，为就业困难残疾人提供就业援助和就业补助，推进高校残疾人毕业生就业见习、实习。</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w:t>
            </w:r>
            <w:proofErr w:type="gramStart"/>
            <w:r w:rsidRPr="00A77924">
              <w:rPr>
                <w:rFonts w:ascii="仿宋_GB2312" w:eastAsia="仿宋_GB2312" w:hAnsi="宋体" w:cs="仿宋_GB2312" w:hint="eastAsia"/>
                <w:color w:val="000000"/>
                <w:sz w:val="21"/>
                <w:szCs w:val="21"/>
              </w:rPr>
              <w:t>人社局</w:t>
            </w:r>
            <w:proofErr w:type="gramEnd"/>
            <w:r w:rsidRPr="00A77924">
              <w:rPr>
                <w:rFonts w:ascii="仿宋_GB2312" w:eastAsia="仿宋_GB2312" w:hAnsi="宋体" w:cs="仿宋_GB2312" w:hint="eastAsia"/>
                <w:color w:val="000000"/>
                <w:sz w:val="21"/>
                <w:szCs w:val="21"/>
              </w:rPr>
              <w:t>、</w:t>
            </w: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14</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广泛开展三级预防，实施重点干预工程。</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A77924">
            <w:pPr>
              <w:spacing w:after="0" w:line="240" w:lineRule="exact"/>
              <w:rPr>
                <w:rFonts w:ascii="仿宋_GB2312" w:eastAsia="仿宋_GB2312"/>
                <w:sz w:val="21"/>
                <w:szCs w:val="21"/>
              </w:rPr>
            </w:pPr>
            <w:proofErr w:type="gramStart"/>
            <w:r w:rsidRPr="00A77924">
              <w:rPr>
                <w:rFonts w:ascii="仿宋_GB2312" w:eastAsia="仿宋_GB2312" w:cs="仿宋_GB2312" w:hint="eastAsia"/>
                <w:sz w:val="21"/>
                <w:szCs w:val="21"/>
              </w:rPr>
              <w:t>县卫计委</w:t>
            </w:r>
            <w:proofErr w:type="gramEnd"/>
            <w:r w:rsidRPr="00A77924">
              <w:rPr>
                <w:rFonts w:ascii="仿宋_GB2312" w:eastAsia="仿宋_GB2312" w:cs="仿宋_GB2312" w:hint="eastAsia"/>
                <w:sz w:val="21"/>
                <w:szCs w:val="21"/>
              </w:rPr>
              <w:t>、县民政局、县财政局、县</w:t>
            </w:r>
            <w:proofErr w:type="gramStart"/>
            <w:r w:rsidRPr="00A77924">
              <w:rPr>
                <w:rFonts w:ascii="仿宋_GB2312" w:eastAsia="仿宋_GB2312" w:cs="仿宋_GB2312" w:hint="eastAsia"/>
                <w:sz w:val="21"/>
                <w:szCs w:val="21"/>
              </w:rPr>
              <w:t>人社局</w:t>
            </w:r>
            <w:proofErr w:type="gramEnd"/>
            <w:r w:rsidRPr="00A77924">
              <w:rPr>
                <w:rFonts w:ascii="仿宋_GB2312" w:eastAsia="仿宋_GB2312" w:cs="仿宋_GB2312" w:hint="eastAsia"/>
                <w:sz w:val="21"/>
                <w:szCs w:val="21"/>
              </w:rPr>
              <w:t>、县公安局、县残联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15</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继续实施残疾儿童抢救性康复、贫困残疾人辅助器具适配、防盲治盲、防聋治聋等重点康复项目。加强残疾人健康管理和社区康复。</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县残联、县民政局、县财政局、</w:t>
            </w:r>
            <w:proofErr w:type="gramStart"/>
            <w:r w:rsidRPr="00A77924">
              <w:rPr>
                <w:rFonts w:ascii="仿宋_GB2312" w:eastAsia="仿宋_GB2312" w:hAnsi="宋体" w:cs="仿宋_GB2312" w:hint="eastAsia"/>
                <w:color w:val="000000"/>
                <w:sz w:val="21"/>
                <w:szCs w:val="21"/>
              </w:rPr>
              <w:t>县卫计委</w:t>
            </w:r>
            <w:proofErr w:type="gramEnd"/>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16</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逐步开展康复高等教育和专业人才培养。</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、县财政局、县</w:t>
            </w:r>
            <w:proofErr w:type="gramStart"/>
            <w:r w:rsidRPr="00A77924">
              <w:rPr>
                <w:rFonts w:ascii="仿宋_GB2312" w:eastAsia="仿宋_GB2312" w:hAnsi="宋体" w:cs="仿宋_GB2312" w:hint="eastAsia"/>
                <w:color w:val="000000"/>
                <w:sz w:val="21"/>
                <w:szCs w:val="21"/>
              </w:rPr>
              <w:t>人社局、县发改</w:t>
            </w:r>
            <w:proofErr w:type="gramEnd"/>
            <w:r w:rsidRPr="00A77924">
              <w:rPr>
                <w:rFonts w:ascii="仿宋_GB2312" w:eastAsia="仿宋_GB2312" w:hAnsi="宋体" w:cs="仿宋_GB2312" w:hint="eastAsia"/>
                <w:color w:val="000000"/>
                <w:sz w:val="21"/>
                <w:szCs w:val="21"/>
              </w:rPr>
              <w:t>委、</w:t>
            </w:r>
            <w:proofErr w:type="gramStart"/>
            <w:r w:rsidRPr="00A77924">
              <w:rPr>
                <w:rFonts w:ascii="仿宋_GB2312" w:eastAsia="仿宋_GB2312" w:hAnsi="宋体" w:cs="仿宋_GB2312" w:hint="eastAsia"/>
                <w:color w:val="000000"/>
                <w:sz w:val="21"/>
                <w:szCs w:val="21"/>
              </w:rPr>
              <w:t>县卫计委</w:t>
            </w:r>
            <w:proofErr w:type="gramEnd"/>
            <w:r w:rsidRPr="00A77924">
              <w:rPr>
                <w:rFonts w:ascii="仿宋_GB2312" w:eastAsia="仿宋_GB2312" w:hAnsi="宋体" w:cs="仿宋_GB2312" w:hint="eastAsia"/>
                <w:color w:val="000000"/>
                <w:sz w:val="21"/>
                <w:szCs w:val="21"/>
              </w:rPr>
              <w:t>、县残联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17</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推广个性化辅助器具</w:t>
            </w:r>
            <w:proofErr w:type="gramStart"/>
            <w:r w:rsidRPr="00A77924">
              <w:rPr>
                <w:rFonts w:ascii="仿宋_GB2312" w:eastAsia="仿宋_GB2312" w:hAnsi="宋体" w:cs="仿宋_GB2312" w:hint="eastAsia"/>
                <w:color w:val="000000"/>
                <w:sz w:val="21"/>
                <w:szCs w:val="21"/>
              </w:rPr>
              <w:t>适配服务</w:t>
            </w:r>
            <w:proofErr w:type="gramEnd"/>
            <w:r w:rsidRPr="00A77924">
              <w:rPr>
                <w:rFonts w:ascii="仿宋_GB2312" w:eastAsia="仿宋_GB2312" w:hAnsi="宋体" w:cs="仿宋_GB2312" w:hint="eastAsia"/>
                <w:color w:val="000000"/>
                <w:sz w:val="21"/>
                <w:szCs w:val="21"/>
              </w:rPr>
              <w:t>，普及残疾人急需的辅助器具。</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县残联、县民政局、县财政局、</w:t>
            </w:r>
            <w:proofErr w:type="gramStart"/>
            <w:r w:rsidRPr="00A77924">
              <w:rPr>
                <w:rFonts w:ascii="仿宋_GB2312" w:eastAsia="仿宋_GB2312" w:hAnsi="宋体" w:cs="仿宋_GB2312" w:hint="eastAsia"/>
                <w:color w:val="000000"/>
                <w:sz w:val="21"/>
                <w:szCs w:val="21"/>
              </w:rPr>
              <w:t>县卫计委</w:t>
            </w:r>
            <w:proofErr w:type="gramEnd"/>
            <w:r w:rsidRPr="00A77924">
              <w:rPr>
                <w:rFonts w:ascii="仿宋_GB2312" w:eastAsia="仿宋_GB2312" w:hAnsi="宋体" w:cs="仿宋_GB2312" w:hint="eastAsia"/>
                <w:color w:val="000000"/>
                <w:sz w:val="21"/>
                <w:szCs w:val="21"/>
              </w:rPr>
              <w:t>、县科技局、县工信局</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18</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家庭经济困难的残疾儿童、青少年享受免学费政策，包括学前、义务、中</w:t>
            </w:r>
            <w:r w:rsidRPr="00A77924">
              <w:rPr>
                <w:rFonts w:ascii="仿宋_GB2312" w:eastAsia="仿宋_GB2312" w:hAnsi="宋体" w:cs="仿宋_GB2312" w:hint="eastAsia"/>
                <w:color w:val="000000"/>
                <w:sz w:val="21"/>
                <w:szCs w:val="21"/>
              </w:rPr>
              <w:lastRenderedPageBreak/>
              <w:t>职、高中教育。继续改善特殊教育学校办学条件，完善特教教师收入分配激励机制，提高特殊教育教学质量和水平。</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proofErr w:type="gramStart"/>
            <w:r w:rsidRPr="00A77924">
              <w:rPr>
                <w:rFonts w:ascii="仿宋_GB2312" w:eastAsia="仿宋_GB2312" w:hAnsi="宋体" w:cs="仿宋_GB2312" w:hint="eastAsia"/>
                <w:color w:val="000000"/>
                <w:sz w:val="21"/>
                <w:szCs w:val="21"/>
              </w:rPr>
              <w:lastRenderedPageBreak/>
              <w:t>县教体局</w:t>
            </w:r>
            <w:proofErr w:type="gramEnd"/>
            <w:r w:rsidRPr="00A77924">
              <w:rPr>
                <w:rFonts w:ascii="仿宋_GB2312" w:eastAsia="仿宋_GB2312" w:hAnsi="宋体" w:cs="仿宋_GB2312" w:hint="eastAsia"/>
                <w:color w:val="000000"/>
                <w:sz w:val="21"/>
                <w:szCs w:val="21"/>
              </w:rPr>
              <w:t>、县</w:t>
            </w:r>
            <w:proofErr w:type="gramStart"/>
            <w:r w:rsidRPr="00A77924">
              <w:rPr>
                <w:rFonts w:ascii="仿宋_GB2312" w:eastAsia="仿宋_GB2312" w:hAnsi="宋体" w:cs="仿宋_GB2312" w:hint="eastAsia"/>
                <w:color w:val="000000"/>
                <w:sz w:val="21"/>
                <w:szCs w:val="21"/>
              </w:rPr>
              <w:t>人社局、县发改</w:t>
            </w:r>
            <w:proofErr w:type="gramEnd"/>
            <w:r w:rsidRPr="00A77924">
              <w:rPr>
                <w:rFonts w:ascii="仿宋_GB2312" w:eastAsia="仿宋_GB2312" w:hAnsi="宋体" w:cs="仿宋_GB2312" w:hint="eastAsia"/>
                <w:color w:val="000000"/>
                <w:sz w:val="21"/>
                <w:szCs w:val="21"/>
              </w:rPr>
              <w:lastRenderedPageBreak/>
              <w:t>委、县民政局、县财政局、县残联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lastRenderedPageBreak/>
              <w:t>19</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制定实施残疾青壮年文盲扫盲行动计划，全面开展残疾青壮年文盲扫盲工作。</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、县农业局、县残联、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20</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扶持盲文读物、有声读物、残疾人题材图书和音像制品出版，实施文化进家庭“五个一”项目。</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县文广新局、县残联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21</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实施“残疾人体育健身计划”。</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、县残联</w:t>
            </w:r>
          </w:p>
        </w:tc>
      </w:tr>
      <w:tr w:rsidR="00CC6696" w:rsidRPr="00A77924">
        <w:trPr>
          <w:trHeight w:val="447"/>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22</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公共交通工具逐步配备无障碍设备，改进方便残疾人交通出行的服务举措。制定推广家居无障碍通用设计，推动政府及公共服务网站的无障碍建设和改造。</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县建设局、县工信局、县交通局、县公安局、县残联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23</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建立残疾人基本公共服务标准体系，培育建立残疾人服务品牌。</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w:t>
            </w:r>
            <w:proofErr w:type="gramStart"/>
            <w:r w:rsidRPr="00A77924">
              <w:rPr>
                <w:rFonts w:ascii="仿宋_GB2312" w:eastAsia="仿宋_GB2312" w:hAnsi="宋体" w:cs="仿宋_GB2312" w:hint="eastAsia"/>
                <w:color w:val="000000"/>
                <w:sz w:val="21"/>
                <w:szCs w:val="21"/>
              </w:rPr>
              <w:t>县发改</w:t>
            </w:r>
            <w:proofErr w:type="gramEnd"/>
            <w:r w:rsidRPr="00A77924">
              <w:rPr>
                <w:rFonts w:ascii="仿宋_GB2312" w:eastAsia="仿宋_GB2312" w:hAnsi="宋体" w:cs="仿宋_GB2312" w:hint="eastAsia"/>
                <w:color w:val="000000"/>
                <w:sz w:val="21"/>
                <w:szCs w:val="21"/>
              </w:rPr>
              <w:t>委、县民政局、县工商质监局</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24</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将残疾人保障法等法律法规纳入全县“七五”法治宣传教育规划，开展残疾人学法用法专项行动。</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县司法局、县残联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25</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扩大残疾人法律援助范围，建立完善残疾人权益保障应急处置机制。</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县司法局、县公安局、县残联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26</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大力发展残疾人慈善事业，有效开展志愿助残服务，积极培育扶持助残社会组织健康发展，建立调动社会力量帮扶残疾人的机制和平台。鼓励和规范网络助残慈善活动。</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县民政局、团县委、县残联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27</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完善落实残疾人服务业扶持政策，推动残疾人辅助器具、康复护理、托养</w:t>
            </w:r>
            <w:r w:rsidRPr="00A77924">
              <w:rPr>
                <w:rFonts w:ascii="仿宋_GB2312" w:eastAsia="仿宋_GB2312" w:hAnsi="宋体" w:cs="仿宋_GB2312" w:hint="eastAsia"/>
                <w:color w:val="000000"/>
                <w:spacing w:val="-6"/>
                <w:sz w:val="21"/>
                <w:szCs w:val="21"/>
              </w:rPr>
              <w:t>照料、生活服务、无障碍产品服务等产业发展。加强残疾人服务行业管理</w:t>
            </w:r>
            <w:r w:rsidRPr="00A77924">
              <w:rPr>
                <w:rFonts w:ascii="仿宋_GB2312" w:eastAsia="仿宋_GB2312" w:hAnsi="宋体" w:cs="仿宋_GB2312" w:hint="eastAsia"/>
                <w:color w:val="000000"/>
                <w:sz w:val="21"/>
                <w:szCs w:val="21"/>
              </w:rPr>
              <w:t>。</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w:t>
            </w:r>
            <w:proofErr w:type="gramStart"/>
            <w:r w:rsidRPr="00A77924">
              <w:rPr>
                <w:rFonts w:ascii="仿宋_GB2312" w:eastAsia="仿宋_GB2312" w:hAnsi="宋体" w:cs="仿宋_GB2312" w:hint="eastAsia"/>
                <w:color w:val="000000"/>
                <w:sz w:val="21"/>
                <w:szCs w:val="21"/>
              </w:rPr>
              <w:t>县发改</w:t>
            </w:r>
            <w:proofErr w:type="gramEnd"/>
            <w:r w:rsidRPr="00A77924">
              <w:rPr>
                <w:rFonts w:ascii="仿宋_GB2312" w:eastAsia="仿宋_GB2312" w:hAnsi="宋体" w:cs="仿宋_GB2312" w:hint="eastAsia"/>
                <w:color w:val="000000"/>
                <w:sz w:val="21"/>
                <w:szCs w:val="21"/>
              </w:rPr>
              <w:t>委、县民政局</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28</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逐步完善政府购买助残服务指导性目录，扩大购买规模。强化事前、事中和事后监管。</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县财政局、县民政局、县残联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29</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大力弘扬人道主义思想、扶残助残的中华民族传统美德和残疾人“平等、参与、共享、融合”的现代文明理念，营造理解、尊重、关心、帮助残疾人的社会环境。为残疾儿童成长提供良好的家庭环境。</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宣传部、县文广新局、团县委、县妇联、县残联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30</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加强残疾人康复设施和托养设施建设。</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s="仿宋_GB2312"/>
                <w:color w:val="000000"/>
                <w:sz w:val="21"/>
                <w:szCs w:val="21"/>
              </w:rPr>
            </w:pPr>
            <w:proofErr w:type="gramStart"/>
            <w:r w:rsidRPr="00A77924">
              <w:rPr>
                <w:rFonts w:ascii="仿宋_GB2312" w:eastAsia="仿宋_GB2312" w:hAnsi="宋体" w:cs="仿宋_GB2312" w:hint="eastAsia"/>
                <w:color w:val="000000"/>
                <w:sz w:val="21"/>
                <w:szCs w:val="21"/>
              </w:rPr>
              <w:t>县发改</w:t>
            </w:r>
            <w:proofErr w:type="gramEnd"/>
            <w:r w:rsidRPr="00A77924">
              <w:rPr>
                <w:rFonts w:ascii="仿宋_GB2312" w:eastAsia="仿宋_GB2312" w:hAnsi="宋体" w:cs="仿宋_GB2312" w:hint="eastAsia"/>
                <w:color w:val="000000"/>
                <w:sz w:val="21"/>
                <w:szCs w:val="21"/>
              </w:rPr>
              <w:t>委、县民政局、县财政局、县残联</w:t>
            </w:r>
            <w:r w:rsidRPr="00A77924">
              <w:rPr>
                <w:rFonts w:ascii="仿宋_GB2312" w:eastAsia="仿宋_GB2312" w:hAnsi="宋体" w:cs="仿宋_GB2312"/>
                <w:color w:val="000000"/>
                <w:sz w:val="21"/>
                <w:szCs w:val="21"/>
              </w:rPr>
              <w:t xml:space="preserve"> </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31</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加强残疾人智能化信息服务管理平台及移动客户端建设，推动“互联网</w:t>
            </w:r>
            <w:r w:rsidRPr="00A77924">
              <w:rPr>
                <w:rFonts w:ascii="仿宋_GB2312" w:eastAsia="仿宋_GB2312" w:hAnsi="宋体" w:cs="仿宋_GB2312"/>
                <w:color w:val="000000"/>
                <w:sz w:val="21"/>
                <w:szCs w:val="21"/>
              </w:rPr>
              <w:t>+</w:t>
            </w:r>
            <w:r w:rsidRPr="00A77924">
              <w:rPr>
                <w:rFonts w:ascii="仿宋_GB2312" w:eastAsia="仿宋_GB2312" w:hAnsi="宋体" w:cs="仿宋_GB2312" w:hint="eastAsia"/>
                <w:color w:val="000000"/>
                <w:sz w:val="21"/>
                <w:szCs w:val="21"/>
              </w:rPr>
              <w:t>助残服务”模式的创新应用；支持残疾人从事电子商务。</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县残联、县工信局、县民政局、县财政局、县科技局、县商务局、县统计局、县残联</w:t>
            </w:r>
          </w:p>
        </w:tc>
      </w:tr>
      <w:tr w:rsidR="00CC6696" w:rsidRPr="00A77924">
        <w:trPr>
          <w:jc w:val="center"/>
        </w:trPr>
        <w:tc>
          <w:tcPr>
            <w:tcW w:w="504" w:type="dxa"/>
            <w:tcBorders>
              <w:top w:val="inset" w:sz="6" w:space="0" w:color="000000"/>
              <w:left w:val="inset" w:sz="6" w:space="0" w:color="000000"/>
              <w:bottom w:val="inset" w:sz="6" w:space="0" w:color="000000"/>
              <w:right w:val="inset" w:sz="6" w:space="0" w:color="000000"/>
            </w:tcBorders>
            <w:vAlign w:val="center"/>
          </w:tcPr>
          <w:p w:rsidR="00CC6696" w:rsidRPr="00A77924" w:rsidRDefault="00CC6696" w:rsidP="00800FD7">
            <w:pPr>
              <w:spacing w:after="0" w:line="280" w:lineRule="exact"/>
              <w:jc w:val="center"/>
              <w:rPr>
                <w:rFonts w:ascii="仿宋_GB2312" w:eastAsia="仿宋_GB2312" w:hAnsi="宋体" w:cs="仿宋_GB2312"/>
                <w:color w:val="000000"/>
                <w:sz w:val="21"/>
                <w:szCs w:val="21"/>
              </w:rPr>
            </w:pPr>
            <w:r w:rsidRPr="00A77924">
              <w:rPr>
                <w:rFonts w:ascii="仿宋_GB2312" w:eastAsia="仿宋_GB2312" w:hAnsi="宋体" w:cs="仿宋_GB2312"/>
                <w:color w:val="000000"/>
                <w:sz w:val="21"/>
                <w:szCs w:val="21"/>
              </w:rPr>
              <w:t>32</w:t>
            </w:r>
          </w:p>
        </w:tc>
        <w:tc>
          <w:tcPr>
            <w:tcW w:w="6772"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建立健全残疾人基本公共服务平台，构建县区、乡、村三级联动互补的基层残疾人基本公共服务网络，提升残疾人服务综合治理能力。</w:t>
            </w:r>
          </w:p>
        </w:tc>
        <w:tc>
          <w:tcPr>
            <w:tcW w:w="2937" w:type="dxa"/>
            <w:tcBorders>
              <w:top w:val="inset" w:sz="6" w:space="0" w:color="000000"/>
              <w:left w:val="single" w:sz="2" w:space="0" w:color="auto"/>
              <w:bottom w:val="inset" w:sz="6" w:space="0" w:color="000000"/>
              <w:right w:val="inset" w:sz="6" w:space="0" w:color="000000"/>
            </w:tcBorders>
            <w:vAlign w:val="center"/>
          </w:tcPr>
          <w:p w:rsidR="00CC6696" w:rsidRPr="00A77924" w:rsidRDefault="00CC6696" w:rsidP="005F1D33">
            <w:pPr>
              <w:spacing w:after="0" w:line="280" w:lineRule="exact"/>
              <w:rPr>
                <w:rFonts w:ascii="仿宋_GB2312" w:eastAsia="仿宋_GB2312" w:hAnsi="宋体"/>
                <w:color w:val="000000"/>
                <w:sz w:val="21"/>
                <w:szCs w:val="21"/>
              </w:rPr>
            </w:pPr>
            <w:r w:rsidRPr="00A77924">
              <w:rPr>
                <w:rFonts w:ascii="仿宋_GB2312" w:eastAsia="仿宋_GB2312" w:hAnsi="宋体" w:cs="仿宋_GB2312" w:hint="eastAsia"/>
                <w:color w:val="000000"/>
                <w:sz w:val="21"/>
                <w:szCs w:val="21"/>
              </w:rPr>
              <w:t>县残联、</w:t>
            </w:r>
            <w:proofErr w:type="gramStart"/>
            <w:r w:rsidRPr="00A77924">
              <w:rPr>
                <w:rFonts w:ascii="仿宋_GB2312" w:eastAsia="仿宋_GB2312" w:hAnsi="宋体" w:cs="仿宋_GB2312" w:hint="eastAsia"/>
                <w:color w:val="000000"/>
                <w:sz w:val="21"/>
                <w:szCs w:val="21"/>
              </w:rPr>
              <w:t>县发改</w:t>
            </w:r>
            <w:proofErr w:type="gramEnd"/>
            <w:r w:rsidRPr="00A77924">
              <w:rPr>
                <w:rFonts w:ascii="仿宋_GB2312" w:eastAsia="仿宋_GB2312" w:hAnsi="宋体" w:cs="仿宋_GB2312" w:hint="eastAsia"/>
                <w:color w:val="000000"/>
                <w:sz w:val="21"/>
                <w:szCs w:val="21"/>
              </w:rPr>
              <w:t>委、</w:t>
            </w:r>
            <w:proofErr w:type="gramStart"/>
            <w:r w:rsidRPr="00A77924">
              <w:rPr>
                <w:rFonts w:ascii="仿宋_GB2312" w:eastAsia="仿宋_GB2312" w:hAnsi="宋体" w:cs="仿宋_GB2312" w:hint="eastAsia"/>
                <w:color w:val="000000"/>
                <w:sz w:val="21"/>
                <w:szCs w:val="21"/>
              </w:rPr>
              <w:t>县教体局</w:t>
            </w:r>
            <w:proofErr w:type="gramEnd"/>
            <w:r w:rsidRPr="00A77924">
              <w:rPr>
                <w:rFonts w:ascii="仿宋_GB2312" w:eastAsia="仿宋_GB2312" w:hAnsi="宋体" w:cs="仿宋_GB2312" w:hint="eastAsia"/>
                <w:color w:val="000000"/>
                <w:sz w:val="21"/>
                <w:szCs w:val="21"/>
              </w:rPr>
              <w:t>、县民政局、县财政局、县</w:t>
            </w:r>
            <w:proofErr w:type="gramStart"/>
            <w:r w:rsidRPr="00A77924">
              <w:rPr>
                <w:rFonts w:ascii="仿宋_GB2312" w:eastAsia="仿宋_GB2312" w:hAnsi="宋体" w:cs="仿宋_GB2312" w:hint="eastAsia"/>
                <w:color w:val="000000"/>
                <w:sz w:val="21"/>
                <w:szCs w:val="21"/>
              </w:rPr>
              <w:t>人社局、县卫</w:t>
            </w:r>
            <w:proofErr w:type="gramEnd"/>
            <w:r w:rsidRPr="00A77924">
              <w:rPr>
                <w:rFonts w:ascii="仿宋_GB2312" w:eastAsia="仿宋_GB2312" w:hAnsi="宋体" w:cs="仿宋_GB2312" w:hint="eastAsia"/>
                <w:color w:val="000000"/>
                <w:sz w:val="21"/>
                <w:szCs w:val="21"/>
              </w:rPr>
              <w:t>计委、县文广新局、各乡镇</w:t>
            </w:r>
          </w:p>
        </w:tc>
      </w:tr>
    </w:tbl>
    <w:p w:rsidR="00CC6696" w:rsidRPr="00A77924" w:rsidRDefault="00CC6696" w:rsidP="00800FD7">
      <w:pPr>
        <w:spacing w:after="0" w:line="560" w:lineRule="exact"/>
        <w:jc w:val="both"/>
        <w:rPr>
          <w:rFonts w:ascii="仿宋_GB2312" w:eastAsia="仿宋_GB2312" w:hAnsi="宋体"/>
          <w:color w:val="000000"/>
          <w:sz w:val="21"/>
          <w:szCs w:val="21"/>
        </w:rPr>
      </w:pPr>
      <w:r w:rsidRPr="00A77924">
        <w:rPr>
          <w:rFonts w:ascii="仿宋_GB2312" w:eastAsia="仿宋_GB2312" w:hAnsi="宋体" w:cs="仿宋_GB2312"/>
          <w:color w:val="000000"/>
          <w:sz w:val="21"/>
          <w:szCs w:val="21"/>
        </w:rPr>
        <w:t xml:space="preserve">      </w:t>
      </w:r>
      <w:r w:rsidRPr="00A77924">
        <w:rPr>
          <w:rFonts w:ascii="仿宋_GB2312" w:eastAsia="仿宋_GB2312" w:hAnsi="宋体" w:cs="仿宋_GB2312" w:hint="eastAsia"/>
          <w:color w:val="000000"/>
          <w:sz w:val="21"/>
          <w:szCs w:val="21"/>
        </w:rPr>
        <w:t>注：负责单位中列第一位者为牵头单位，其余为主要参与单位。</w:t>
      </w:r>
    </w:p>
    <w:p w:rsidR="00CC6696" w:rsidRPr="00A77924" w:rsidRDefault="00CC6696" w:rsidP="002A132F">
      <w:pPr>
        <w:spacing w:after="0" w:line="100" w:lineRule="exact"/>
        <w:jc w:val="both"/>
        <w:rPr>
          <w:rFonts w:ascii="仿宋_GB2312" w:eastAsia="仿宋_GB2312" w:hAnsi="宋体"/>
          <w:color w:val="000000"/>
          <w:sz w:val="21"/>
          <w:szCs w:val="21"/>
        </w:rPr>
      </w:pPr>
    </w:p>
    <w:p w:rsidR="00CC6696" w:rsidRPr="00A77924" w:rsidRDefault="00CC6696" w:rsidP="002A132F">
      <w:pPr>
        <w:spacing w:after="0" w:line="100" w:lineRule="exact"/>
        <w:jc w:val="both"/>
        <w:rPr>
          <w:rFonts w:ascii="仿宋_GB2312" w:eastAsia="仿宋_GB2312" w:hAnsi="宋体"/>
          <w:color w:val="000000"/>
          <w:sz w:val="21"/>
          <w:szCs w:val="21"/>
        </w:rPr>
      </w:pPr>
    </w:p>
    <w:sectPr w:rsidR="00CC6696" w:rsidRPr="00A77924" w:rsidSect="008B6507">
      <w:footerReference w:type="default" r:id="rId7"/>
      <w:pgSz w:w="11906" w:h="16838" w:code="9"/>
      <w:pgMar w:top="2098" w:right="1418" w:bottom="1134" w:left="1418" w:header="851" w:footer="992"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696" w:rsidRDefault="00CC6696">
      <w:r>
        <w:separator/>
      </w:r>
    </w:p>
  </w:endnote>
  <w:endnote w:type="continuationSeparator" w:id="1">
    <w:p w:rsidR="00CC6696" w:rsidRDefault="00CC66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96" w:rsidRPr="00BA7C23" w:rsidRDefault="005B7FD5" w:rsidP="001A331C">
    <w:pPr>
      <w:pStyle w:val="a4"/>
      <w:framePr w:wrap="auto" w:vAnchor="text" w:hAnchor="margin" w:xAlign="outside" w:y="1"/>
      <w:rPr>
        <w:rStyle w:val="a5"/>
        <w:rFonts w:ascii="宋体" w:eastAsia="宋体" w:hAnsi="宋体"/>
        <w:sz w:val="28"/>
        <w:szCs w:val="28"/>
      </w:rPr>
    </w:pPr>
    <w:r w:rsidRPr="00BA7C23">
      <w:rPr>
        <w:rStyle w:val="a5"/>
        <w:rFonts w:ascii="宋体" w:eastAsia="宋体" w:hAnsi="宋体" w:cs="宋体"/>
        <w:sz w:val="28"/>
        <w:szCs w:val="28"/>
      </w:rPr>
      <w:fldChar w:fldCharType="begin"/>
    </w:r>
    <w:r w:rsidR="00CC6696" w:rsidRPr="00BA7C23">
      <w:rPr>
        <w:rStyle w:val="a5"/>
        <w:rFonts w:ascii="宋体" w:eastAsia="宋体" w:hAnsi="宋体" w:cs="宋体"/>
        <w:sz w:val="28"/>
        <w:szCs w:val="28"/>
      </w:rPr>
      <w:instrText xml:space="preserve">PAGE  </w:instrText>
    </w:r>
    <w:r w:rsidRPr="00BA7C23">
      <w:rPr>
        <w:rStyle w:val="a5"/>
        <w:rFonts w:ascii="宋体" w:eastAsia="宋体" w:hAnsi="宋体" w:cs="宋体"/>
        <w:sz w:val="28"/>
        <w:szCs w:val="28"/>
      </w:rPr>
      <w:fldChar w:fldCharType="separate"/>
    </w:r>
    <w:r w:rsidR="00162640">
      <w:rPr>
        <w:rStyle w:val="a5"/>
        <w:rFonts w:ascii="宋体" w:eastAsia="宋体" w:hAnsi="宋体" w:cs="宋体"/>
        <w:noProof/>
        <w:sz w:val="28"/>
        <w:szCs w:val="28"/>
      </w:rPr>
      <w:t>- 2 -</w:t>
    </w:r>
    <w:r w:rsidRPr="00BA7C23">
      <w:rPr>
        <w:rStyle w:val="a5"/>
        <w:rFonts w:ascii="宋体" w:eastAsia="宋体" w:hAnsi="宋体" w:cs="宋体"/>
        <w:sz w:val="28"/>
        <w:szCs w:val="28"/>
      </w:rPr>
      <w:fldChar w:fldCharType="end"/>
    </w:r>
  </w:p>
  <w:p w:rsidR="00CC6696" w:rsidRDefault="00CC6696" w:rsidP="00BA7C2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696" w:rsidRDefault="00CC6696">
      <w:r>
        <w:separator/>
      </w:r>
    </w:p>
  </w:footnote>
  <w:footnote w:type="continuationSeparator" w:id="1">
    <w:p w:rsidR="00CC6696" w:rsidRDefault="00CC6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6E1C12"/>
    <w:lvl w:ilvl="0">
      <w:start w:val="1"/>
      <w:numFmt w:val="decimal"/>
      <w:lvlText w:val="%1."/>
      <w:lvlJc w:val="left"/>
      <w:pPr>
        <w:tabs>
          <w:tab w:val="num" w:pos="2040"/>
        </w:tabs>
        <w:ind w:left="2040" w:hanging="360"/>
      </w:pPr>
    </w:lvl>
  </w:abstractNum>
  <w:abstractNum w:abstractNumId="1">
    <w:nsid w:val="FFFFFF7D"/>
    <w:multiLevelType w:val="singleLevel"/>
    <w:tmpl w:val="ACCA3850"/>
    <w:lvl w:ilvl="0">
      <w:start w:val="1"/>
      <w:numFmt w:val="decimal"/>
      <w:lvlText w:val="%1."/>
      <w:lvlJc w:val="left"/>
      <w:pPr>
        <w:tabs>
          <w:tab w:val="num" w:pos="1620"/>
        </w:tabs>
        <w:ind w:left="1620" w:hanging="360"/>
      </w:pPr>
    </w:lvl>
  </w:abstractNum>
  <w:abstractNum w:abstractNumId="2">
    <w:nsid w:val="FFFFFF7E"/>
    <w:multiLevelType w:val="singleLevel"/>
    <w:tmpl w:val="0FD4B900"/>
    <w:lvl w:ilvl="0">
      <w:start w:val="1"/>
      <w:numFmt w:val="decimal"/>
      <w:lvlText w:val="%1."/>
      <w:lvlJc w:val="left"/>
      <w:pPr>
        <w:tabs>
          <w:tab w:val="num" w:pos="1200"/>
        </w:tabs>
        <w:ind w:left="1200" w:hanging="360"/>
      </w:pPr>
    </w:lvl>
  </w:abstractNum>
  <w:abstractNum w:abstractNumId="3">
    <w:nsid w:val="FFFFFF7F"/>
    <w:multiLevelType w:val="singleLevel"/>
    <w:tmpl w:val="9A9A940C"/>
    <w:lvl w:ilvl="0">
      <w:start w:val="1"/>
      <w:numFmt w:val="decimal"/>
      <w:lvlText w:val="%1."/>
      <w:lvlJc w:val="left"/>
      <w:pPr>
        <w:tabs>
          <w:tab w:val="num" w:pos="780"/>
        </w:tabs>
        <w:ind w:left="780" w:hanging="360"/>
      </w:pPr>
    </w:lvl>
  </w:abstractNum>
  <w:abstractNum w:abstractNumId="4">
    <w:nsid w:val="FFFFFF80"/>
    <w:multiLevelType w:val="singleLevel"/>
    <w:tmpl w:val="4468A6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5F831F0"/>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0C84A314"/>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F6302828"/>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63842FE4"/>
    <w:lvl w:ilvl="0">
      <w:start w:val="1"/>
      <w:numFmt w:val="decimal"/>
      <w:lvlText w:val="%1."/>
      <w:lvlJc w:val="left"/>
      <w:pPr>
        <w:tabs>
          <w:tab w:val="num" w:pos="360"/>
        </w:tabs>
        <w:ind w:left="360" w:hanging="360"/>
      </w:pPr>
    </w:lvl>
  </w:abstractNum>
  <w:abstractNum w:abstractNumId="9">
    <w:nsid w:val="FFFFFF89"/>
    <w:multiLevelType w:val="singleLevel"/>
    <w:tmpl w:val="1DE40974"/>
    <w:lvl w:ilvl="0">
      <w:start w:val="1"/>
      <w:numFmt w:val="bullet"/>
      <w:lvlText w:val=""/>
      <w:lvlJc w:val="left"/>
      <w:pPr>
        <w:tabs>
          <w:tab w:val="num" w:pos="360"/>
        </w:tabs>
        <w:ind w:left="360" w:hanging="360"/>
      </w:pPr>
      <w:rPr>
        <w:rFonts w:ascii="Wingdings" w:hAnsi="Wingdings" w:cs="Wingdings" w:hint="default"/>
      </w:rPr>
    </w:lvl>
  </w:abstractNum>
  <w:abstractNum w:abstractNumId="10">
    <w:nsid w:val="59829379"/>
    <w:multiLevelType w:val="singleLevel"/>
    <w:tmpl w:val="59829379"/>
    <w:lvl w:ilvl="0">
      <w:start w:val="6"/>
      <w:numFmt w:val="decimal"/>
      <w:suff w:val="nothing"/>
      <w:lvlText w:val="%1."/>
      <w:lvlJc w:val="left"/>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useFELayout/>
  </w:compat>
  <w:rsids>
    <w:rsidRoot w:val="00D31D50"/>
    <w:rsid w:val="000355A9"/>
    <w:rsid w:val="00063619"/>
    <w:rsid w:val="00082D4A"/>
    <w:rsid w:val="000A1918"/>
    <w:rsid w:val="000E0D79"/>
    <w:rsid w:val="0010568A"/>
    <w:rsid w:val="0011300B"/>
    <w:rsid w:val="0012005C"/>
    <w:rsid w:val="00162640"/>
    <w:rsid w:val="001626DA"/>
    <w:rsid w:val="001755EA"/>
    <w:rsid w:val="00181640"/>
    <w:rsid w:val="001A331C"/>
    <w:rsid w:val="001D67A0"/>
    <w:rsid w:val="001E69B9"/>
    <w:rsid w:val="00225024"/>
    <w:rsid w:val="002415CD"/>
    <w:rsid w:val="00280726"/>
    <w:rsid w:val="002A132F"/>
    <w:rsid w:val="002B73B4"/>
    <w:rsid w:val="00302C39"/>
    <w:rsid w:val="0031289D"/>
    <w:rsid w:val="00323B43"/>
    <w:rsid w:val="00331DEC"/>
    <w:rsid w:val="00344A33"/>
    <w:rsid w:val="003A12A0"/>
    <w:rsid w:val="003B7F79"/>
    <w:rsid w:val="003D37D8"/>
    <w:rsid w:val="00426133"/>
    <w:rsid w:val="004358AB"/>
    <w:rsid w:val="00460130"/>
    <w:rsid w:val="00476E08"/>
    <w:rsid w:val="00484536"/>
    <w:rsid w:val="004C2CA3"/>
    <w:rsid w:val="004C579E"/>
    <w:rsid w:val="004D19A6"/>
    <w:rsid w:val="004D235C"/>
    <w:rsid w:val="004F0D1E"/>
    <w:rsid w:val="005923BC"/>
    <w:rsid w:val="005940E5"/>
    <w:rsid w:val="005B7FD5"/>
    <w:rsid w:val="005F1D33"/>
    <w:rsid w:val="0067465D"/>
    <w:rsid w:val="00677CAE"/>
    <w:rsid w:val="006A5745"/>
    <w:rsid w:val="00717947"/>
    <w:rsid w:val="00800FD7"/>
    <w:rsid w:val="008128C6"/>
    <w:rsid w:val="00830393"/>
    <w:rsid w:val="00830A64"/>
    <w:rsid w:val="00867310"/>
    <w:rsid w:val="00883055"/>
    <w:rsid w:val="00887358"/>
    <w:rsid w:val="00897A48"/>
    <w:rsid w:val="008B6507"/>
    <w:rsid w:val="008B7726"/>
    <w:rsid w:val="009273C4"/>
    <w:rsid w:val="0096584E"/>
    <w:rsid w:val="0097432A"/>
    <w:rsid w:val="00977806"/>
    <w:rsid w:val="009917E9"/>
    <w:rsid w:val="009F2DEE"/>
    <w:rsid w:val="009F46CD"/>
    <w:rsid w:val="00A02897"/>
    <w:rsid w:val="00A278E1"/>
    <w:rsid w:val="00A340FD"/>
    <w:rsid w:val="00A43F04"/>
    <w:rsid w:val="00A65C01"/>
    <w:rsid w:val="00A67FAB"/>
    <w:rsid w:val="00A77924"/>
    <w:rsid w:val="00AA223B"/>
    <w:rsid w:val="00AA70EE"/>
    <w:rsid w:val="00AB16A0"/>
    <w:rsid w:val="00AC4775"/>
    <w:rsid w:val="00AE4BC7"/>
    <w:rsid w:val="00AF7AAD"/>
    <w:rsid w:val="00B121E7"/>
    <w:rsid w:val="00B46F52"/>
    <w:rsid w:val="00B95CC7"/>
    <w:rsid w:val="00B97685"/>
    <w:rsid w:val="00BA7C23"/>
    <w:rsid w:val="00BD3DF1"/>
    <w:rsid w:val="00C33F17"/>
    <w:rsid w:val="00C85FF1"/>
    <w:rsid w:val="00CC3DAF"/>
    <w:rsid w:val="00CC6696"/>
    <w:rsid w:val="00CE13F5"/>
    <w:rsid w:val="00D25F87"/>
    <w:rsid w:val="00D31D50"/>
    <w:rsid w:val="00D635CE"/>
    <w:rsid w:val="00DA38A7"/>
    <w:rsid w:val="00DD2D85"/>
    <w:rsid w:val="00E05529"/>
    <w:rsid w:val="00E12C8C"/>
    <w:rsid w:val="00E363B7"/>
    <w:rsid w:val="00E970D4"/>
    <w:rsid w:val="00EE7BFF"/>
    <w:rsid w:val="00EF3222"/>
    <w:rsid w:val="00EF483D"/>
    <w:rsid w:val="00F16FCB"/>
    <w:rsid w:val="00F37694"/>
    <w:rsid w:val="00F81085"/>
    <w:rsid w:val="00F848D9"/>
    <w:rsid w:val="00FC3E5E"/>
    <w:rsid w:val="00FD20C5"/>
    <w:rsid w:val="00FE6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70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97432A"/>
    <w:rPr>
      <w:rFonts w:ascii="Tahoma" w:hAnsi="Tahoma" w:cs="Tahoma"/>
      <w:kern w:val="0"/>
      <w:sz w:val="18"/>
      <w:szCs w:val="18"/>
    </w:rPr>
  </w:style>
  <w:style w:type="paragraph" w:styleId="a4">
    <w:name w:val="footer"/>
    <w:basedOn w:val="a"/>
    <w:link w:val="Char0"/>
    <w:uiPriority w:val="99"/>
    <w:rsid w:val="00E970D4"/>
    <w:pPr>
      <w:tabs>
        <w:tab w:val="center" w:pos="4153"/>
        <w:tab w:val="right" w:pos="8306"/>
      </w:tabs>
    </w:pPr>
    <w:rPr>
      <w:sz w:val="18"/>
      <w:szCs w:val="18"/>
    </w:rPr>
  </w:style>
  <w:style w:type="character" w:customStyle="1" w:styleId="Char0">
    <w:name w:val="页脚 Char"/>
    <w:basedOn w:val="a0"/>
    <w:link w:val="a4"/>
    <w:uiPriority w:val="99"/>
    <w:semiHidden/>
    <w:locked/>
    <w:rsid w:val="0097432A"/>
    <w:rPr>
      <w:rFonts w:ascii="Tahoma" w:hAnsi="Tahoma" w:cs="Tahoma"/>
      <w:kern w:val="0"/>
      <w:sz w:val="18"/>
      <w:szCs w:val="18"/>
    </w:rPr>
  </w:style>
  <w:style w:type="character" w:styleId="a5">
    <w:name w:val="page number"/>
    <w:basedOn w:val="a0"/>
    <w:uiPriority w:val="99"/>
    <w:rsid w:val="00BA7C23"/>
  </w:style>
  <w:style w:type="table" w:styleId="a6">
    <w:name w:val="Table Grid"/>
    <w:basedOn w:val="a1"/>
    <w:uiPriority w:val="99"/>
    <w:locked/>
    <w:rsid w:val="00181640"/>
    <w:pPr>
      <w:adjustRightInd w:val="0"/>
      <w:snapToGrid w:val="0"/>
      <w:spacing w:after="20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rsid w:val="001755EA"/>
    <w:pPr>
      <w:ind w:leftChars="2500" w:left="100"/>
    </w:pPr>
  </w:style>
  <w:style w:type="character" w:customStyle="1" w:styleId="Char1">
    <w:name w:val="日期 Char"/>
    <w:basedOn w:val="a0"/>
    <w:link w:val="a7"/>
    <w:uiPriority w:val="99"/>
    <w:semiHidden/>
    <w:rsid w:val="00D45752"/>
    <w:rPr>
      <w:rFonts w:ascii="Tahoma" w:hAnsi="Tahoma" w:cs="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Company>WIN</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sdxzfb</cp:lastModifiedBy>
  <cp:revision>2</cp:revision>
  <cp:lastPrinted>2017-10-24T09:51:00Z</cp:lastPrinted>
  <dcterms:created xsi:type="dcterms:W3CDTF">2020-08-11T02:03:00Z</dcterms:created>
  <dcterms:modified xsi:type="dcterms:W3CDTF">2020-08-11T02:03:00Z</dcterms:modified>
</cp:coreProperties>
</file>