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after="0" w:line="600" w:lineRule="exact"/>
        <w:jc w:val="center"/>
        <w:rPr>
          <w:rFonts w:hint="eastAsia" w:ascii="方正小标宋简体" w:hAnsi="Times New Roman" w:eastAsia="方正小标宋简体"/>
          <w:b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sz w:val="44"/>
          <w:szCs w:val="44"/>
          <w:lang w:eastAsia="zh-CN"/>
        </w:rPr>
        <w:t>部门整体</w:t>
      </w:r>
      <w:r>
        <w:rPr>
          <w:rFonts w:hint="eastAsia" w:ascii="方正小标宋简体" w:hAnsi="Times New Roman" w:eastAsia="方正小标宋简体"/>
          <w:b w:val="0"/>
          <w:sz w:val="44"/>
          <w:szCs w:val="44"/>
        </w:rPr>
        <w:t>支出绩效评价自评报告</w:t>
      </w:r>
    </w:p>
    <w:p>
      <w:pPr>
        <w:widowControl/>
        <w:tabs>
          <w:tab w:val="left" w:pos="2880"/>
        </w:tabs>
        <w:spacing w:line="600" w:lineRule="exact"/>
        <w:rPr>
          <w:rFonts w:hint="eastAsia" w:ascii="黑体" w:hAnsi="黑体" w:eastAsia="黑体" w:cs="宋体"/>
          <w:b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48"/>
          <w:szCs w:val="4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overflowPunct/>
        <w:topLinePunct w:val="0"/>
        <w:autoSpaceDE/>
        <w:autoSpaceDN/>
        <w:bidi w:val="0"/>
        <w:spacing w:line="640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overflowPunct/>
        <w:topLinePunct w:val="0"/>
        <w:autoSpaceDE/>
        <w:autoSpaceDN/>
        <w:bidi w:val="0"/>
        <w:spacing w:line="640" w:lineRule="exact"/>
        <w:ind w:firstLine="645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（一）基本情况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overflowPunct/>
        <w:topLinePunct w:val="0"/>
        <w:autoSpaceDE/>
        <w:autoSpaceDN/>
        <w:bidi w:val="0"/>
        <w:spacing w:line="640" w:lineRule="exact"/>
        <w:ind w:firstLine="645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1.单位基本情况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山丹县动物疫病预防控制中心</w:t>
      </w:r>
      <w:r>
        <w:rPr>
          <w:rFonts w:hint="eastAsia" w:ascii="仿宋" w:hAnsi="仿宋" w:eastAsia="仿宋" w:cs="Times New Roman"/>
          <w:sz w:val="32"/>
          <w:szCs w:val="32"/>
        </w:rPr>
        <w:t>县编办核定单位编制共计1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人，事业编制 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人。2022年实有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人数1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人，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退休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3人，调入1人，</w:t>
      </w:r>
      <w:r>
        <w:rPr>
          <w:rFonts w:hint="eastAsia" w:ascii="仿宋" w:hAnsi="仿宋" w:eastAsia="仿宋" w:cs="Times New Roman"/>
          <w:sz w:val="32"/>
          <w:szCs w:val="32"/>
        </w:rPr>
        <w:t>遗属人员4人。</w:t>
      </w:r>
    </w:p>
    <w:p>
      <w:pPr>
        <w:keepNext w:val="0"/>
        <w:keepLines w:val="0"/>
        <w:pageBreakBefore w:val="0"/>
        <w:widowControl/>
        <w:tabs>
          <w:tab w:val="left" w:pos="2880"/>
        </w:tabs>
        <w:kinsoku/>
        <w:wordWrap/>
        <w:overflowPunct/>
        <w:topLinePunct w:val="0"/>
        <w:autoSpaceDE/>
        <w:autoSpaceDN/>
        <w:bidi w:val="0"/>
        <w:spacing w:line="640" w:lineRule="exact"/>
        <w:ind w:firstLine="645"/>
        <w:textAlignment w:val="auto"/>
        <w:rPr>
          <w:rFonts w:hint="eastAsia" w:ascii="黑体" w:hAnsi="黑体" w:eastAsia="仿宋_GB2312" w:cs="宋体"/>
          <w:b/>
          <w:color w:val="000000"/>
          <w:kern w:val="0"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2.单位职能职责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jc w:val="left"/>
        <w:textAlignment w:val="auto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（二）年度重点工作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负责全县动物疫病防控工作：包括重大动物疫病防控、常规动物疫病的防治、动物疫病流行病学的调查、疫情监测检测和动物疫病防治知识的宣传、普及及技术培训工作，指导督促基层畜牧兽医站开展动物疫病防控工作。承担省、市下达各项动物疫病监测，组织实施本县动物疫病监测、诊断、防治和动物疫情预警预报等工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textAlignment w:val="auto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（三）整体收支情况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1.收入决算情况：2022年山丹县动物疫病预防控制中心收入430.12万元，全部为一般公共预算财政拨款。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2.支出决算情况：2022年山丹县动物疫病预防控制中心支出430.12万元。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二、整体支出管理及使用情况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（一）基本支出：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2022年山丹县动物疫病预防控制中心支出233.05万元。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（二）项目支出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2022年山丹县动物疫病预防控制中心支出197.07万元。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（三）“三公”经费决算说明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1.因公出国（境）支出0.00万元。与上年相比无变化。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2.公务接待费0.28万元，与上年相比减少0.0149万元。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3.公务用车购置及运行维护费1.5万元，与上年相比减少0.079万元。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支出管理情况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我单位收入支出严格按照财经秩序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，全部纳入国库集中支付平台统一核算，无虚列支出，延压坐支收入，无违规列支暂付款等情况。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资产管理情况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我单位严格按照单位固定资产管理办法，坚持经会议研究决定后按政府采购程序购置，并及时登记入账，确保我单位固定资产账实相符，准确反映我单位固定资产情况。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整体支出绩效情况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聚焦基础免疫，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强化措施建屏障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全年指导各乡镇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完成各类畜禽免疫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497.29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万头（只、羽），重大动物疫病免疫密度达到90%以上，免疫抗体合格率常年保持在70%以上，构筑了有效的免疫屏障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坚守住了确保不发生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重大动物疫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情的底线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强化监测预警，下好防控先手棋。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扎实推进动物疫病监测工作，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22种动物疫病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检测任务的基础上开展牛羊砌腔吸虫病流行病学调查，组织动物疫病风险评估4次</w:t>
      </w:r>
      <w:r>
        <w:rPr>
          <w:rFonts w:hint="eastAsia" w:ascii="仿宋_GB2312" w:hAnsi="仿宋_GB2312" w:eastAsia="仿宋_GB2312" w:cs="仿宋_GB2312"/>
          <w:sz w:val="32"/>
          <w:szCs w:val="32"/>
        </w:rPr>
        <w:t>对存在的风险隐患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的牛结节性皮肤病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及时预警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并组织防控未造成县内流行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年调查动物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万头只，监测动物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万只，剖解病死动物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头（只），实验室检测样品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22525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份，送检样品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2302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份，外检样品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366</w:t>
      </w:r>
      <w:r>
        <w:rPr>
          <w:rFonts w:hint="eastAsia" w:ascii="仿宋_GB2312" w:hAnsi="仿宋_GB2312" w:eastAsia="仿宋_GB2312" w:cs="仿宋_GB2312"/>
          <w:sz w:val="32"/>
          <w:szCs w:val="32"/>
        </w:rPr>
        <w:t>份。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3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（三）落实人病兽防，坚守布病阵地战。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按照布病“免、检、消、杀、管”防控要求，在单位职责范围内持续开展免疫、检测、消毒、宣传等工作，全年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完成羊布病免疫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65万只，免疫密度100％，共检测羊16793头只，检出阳性畜493只，检测奶牛73头，检出阳性牛3头，对48个阳性场群开展流行病学调查，形成布病防控专题报告。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发放消毒药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sz w:val="32"/>
          <w:szCs w:val="32"/>
        </w:rPr>
        <w:t>吨，布病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防控</w:t>
      </w:r>
      <w:r>
        <w:rPr>
          <w:rFonts w:hint="eastAsia" w:ascii="仿宋_GB2312" w:hAnsi="仿宋_GB2312" w:eastAsia="仿宋_GB2312" w:cs="仿宋_GB2312"/>
          <w:sz w:val="32"/>
          <w:szCs w:val="32"/>
        </w:rPr>
        <w:t>明白纸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、布病防控知识挂图、布病防控知识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100问</w:t>
      </w:r>
      <w:r>
        <w:rPr>
          <w:rFonts w:hint="eastAsia" w:ascii="仿宋_GB2312" w:hAnsi="仿宋_GB2312" w:eastAsia="仿宋_GB2312" w:cs="仿宋_GB2312"/>
          <w:sz w:val="32"/>
          <w:szCs w:val="32"/>
        </w:rPr>
        <w:t>等各种宣传材料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1.95万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开展布病专题培训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场次，培训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410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leftChars="200" w:firstLine="320" w:firstLineChars="1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年动物疫病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防控工作坚守确保不发生重大动物疫病这条底线，</w:t>
      </w:r>
      <w:r>
        <w:rPr>
          <w:rFonts w:hint="eastAsia" w:ascii="仿宋_GB2312" w:hAnsi="仿宋_GB2312" w:eastAsia="仿宋_GB2312" w:cs="仿宋_GB2312"/>
          <w:sz w:val="32"/>
          <w:szCs w:val="32"/>
        </w:rPr>
        <w:t>紧紧围绕乡村振兴和建设幸福美好新山丹的目标任务，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全力做好基础免疫工作、布病防控、推动无疫小区建设和“先打后补”、持续做好非洲猪瘟常态化防控工作，为产业发展提供坚强保障。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40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意见建议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今后，我单位将进一步完善相关财务制度，严格经费管理，加强制度建设，从源头确保我单位各项工作有效顺利展开。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firstLine="2560" w:firstLineChars="8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山丹县动物疫病预防控制中心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hAnsi="仿宋_GB2312" w:cs="仿宋_GB2312"/>
          <w:kern w:val="2"/>
          <w:sz w:val="32"/>
          <w:szCs w:val="32"/>
          <w:lang w:val="en-US" w:eastAsia="zh-CN" w:bidi="ar-SA"/>
        </w:rPr>
        <w:t xml:space="preserve">                     2023年3月3日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C80A4E"/>
    <w:multiLevelType w:val="singleLevel"/>
    <w:tmpl w:val="C5C80A4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10F034"/>
    <w:multiLevelType w:val="singleLevel"/>
    <w:tmpl w:val="6D10F03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OGJmM2NhNzUxYTEzMmJhMjE4NTdmZWFhOWVhYTEifQ=="/>
  </w:docVars>
  <w:rsids>
    <w:rsidRoot w:val="00000000"/>
    <w:rsid w:val="378D5F5E"/>
    <w:rsid w:val="3D212A69"/>
    <w:rsid w:val="4D89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915</Words>
  <Characters>989</Characters>
  <Lines>0</Lines>
  <Paragraphs>0</Paragraphs>
  <TotalTime>8</TotalTime>
  <ScaleCrop>false</ScaleCrop>
  <LinksUpToDate>false</LinksUpToDate>
  <CharactersWithSpaces>991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2023-06-08T01:57:00Z</dcterms:created>
  <dc:creator>Administrator</dc:creator>
  <cp:lastModifiedBy>Administrator</cp:lastModifiedBy>
  <cp:lastPrinted>2023-06-08T08:53:25Z</cp:lastPrinted>
  <dcterms:modified xsi:type="dcterms:W3CDTF">2023-06-08T08:55:37Z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A3EDDAA57BA041A081E10DCE03F13144_12</vt:lpwstr>
  </property>
</Properties>
</file>