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仿宋_GB2312" w:hAnsi="仿宋_GB2312" w:eastAsia="仿宋_GB2312" w:cs="仿宋_GB2312"/>
          <w:sz w:val="32"/>
        </w:rPr>
      </w:pPr>
      <w:r>
        <w:rPr>
          <w:rFonts w:ascii="仿宋_GB2312" w:hAnsi="仿宋_GB2312" w:eastAsia="仿宋_GB2312" w:cs="仿宋_GB2312"/>
          <w:sz w:val="32"/>
        </w:rPr>
        <w:t>附件6</w:t>
      </w:r>
    </w:p>
    <w:p>
      <w:pPr>
        <w:jc w:val="center"/>
        <w:rPr>
          <w:rFonts w:ascii="方正小标宋简体" w:hAnsi="方正小标宋简体" w:eastAsia="方正小标宋简体" w:cs="方正小标宋简体"/>
          <w:sz w:val="40"/>
        </w:rPr>
      </w:pPr>
      <w:r>
        <w:rPr>
          <w:rFonts w:ascii="宋体" w:hAnsi="宋体" w:eastAsia="宋体" w:cs="宋体"/>
          <w:sz w:val="40"/>
        </w:rPr>
        <w:t>山丹县霍城学区</w:t>
      </w:r>
      <w:r>
        <w:rPr>
          <w:rFonts w:ascii="宋体" w:hAnsi="宋体" w:eastAsia="宋体" w:cs="宋体"/>
          <w:sz w:val="40"/>
        </w:rPr>
        <w:t>部门整体支出绩效自评报告</w:t>
      </w:r>
    </w:p>
    <w:p>
      <w:pPr>
        <w:spacing w:line="560" w:lineRule="auto"/>
        <w:ind w:firstLine="640"/>
        <w:rPr>
          <w:rFonts w:ascii="Times New Roman" w:hAnsi="Times New Roman" w:eastAsia="Times New Roman" w:cs="Times New Roman"/>
          <w:sz w:val="32"/>
        </w:rPr>
      </w:pPr>
    </w:p>
    <w:p>
      <w:pPr>
        <w:spacing w:line="560" w:lineRule="auto"/>
        <w:ind w:firstLine="640"/>
        <w:rPr>
          <w:rFonts w:ascii="黑体" w:hAnsi="黑体" w:eastAsia="黑体" w:cs="黑体"/>
          <w:sz w:val="32"/>
        </w:rPr>
      </w:pPr>
      <w:r>
        <w:rPr>
          <w:rFonts w:ascii="黑体" w:hAnsi="黑体" w:eastAsia="黑体" w:cs="黑体"/>
          <w:sz w:val="32"/>
        </w:rPr>
        <w:t>一、部门概况</w:t>
      </w:r>
    </w:p>
    <w:p>
      <w:pPr>
        <w:spacing w:line="560" w:lineRule="auto"/>
        <w:ind w:firstLine="640"/>
        <w:rPr>
          <w:rFonts w:ascii="楷体_GB2312" w:hAnsi="楷体_GB2312" w:eastAsia="楷体_GB2312" w:cs="楷体_GB2312"/>
          <w:sz w:val="32"/>
        </w:rPr>
      </w:pPr>
      <w:r>
        <w:rPr>
          <w:rFonts w:ascii="宋体" w:hAnsi="宋体" w:eastAsia="宋体" w:cs="宋体"/>
          <w:sz w:val="32"/>
        </w:rPr>
        <w:t>（一）基本情况</w:t>
      </w:r>
    </w:p>
    <w:p>
      <w:pPr>
        <w:spacing w:line="560" w:lineRule="auto"/>
        <w:ind w:firstLine="640"/>
        <w:rPr>
          <w:rFonts w:ascii="仿宋_GB2312" w:hAnsi="仿宋_GB2312" w:eastAsia="仿宋_GB2312" w:cs="仿宋_GB2312"/>
          <w:sz w:val="32"/>
        </w:rPr>
      </w:pPr>
      <w:r>
        <w:rPr>
          <w:rFonts w:ascii="仿宋_GB2312" w:hAnsi="仿宋_GB2312" w:eastAsia="仿宋_GB2312" w:cs="仿宋_GB2312"/>
          <w:sz w:val="32"/>
        </w:rPr>
        <w:t>1.单位基本情况</w:t>
      </w:r>
    </w:p>
    <w:p>
      <w:pPr>
        <w:spacing w:line="560" w:lineRule="auto"/>
        <w:ind w:firstLine="640"/>
        <w:rPr>
          <w:rFonts w:ascii="仿宋_GB2312" w:hAnsi="仿宋_GB2312" w:eastAsia="仿宋_GB2312" w:cs="仿宋_GB2312"/>
          <w:sz w:val="32"/>
        </w:rPr>
      </w:pPr>
      <w:r>
        <w:rPr>
          <w:rFonts w:ascii="仿宋_GB2312" w:hAnsi="仿宋_GB2312" w:eastAsia="仿宋_GB2312" w:cs="仿宋_GB2312"/>
          <w:sz w:val="32"/>
        </w:rPr>
        <w:t>山丹县霍城学区位于山丹县</w:t>
      </w:r>
      <w:r>
        <w:rPr>
          <w:rFonts w:hint="eastAsia" w:ascii="仿宋_GB2312" w:hAnsi="仿宋_GB2312" w:eastAsia="仿宋_GB2312" w:cs="仿宋_GB2312"/>
          <w:sz w:val="32"/>
        </w:rPr>
        <w:t>霍城镇西关村</w:t>
      </w:r>
      <w:r>
        <w:rPr>
          <w:rFonts w:ascii="仿宋_GB2312" w:hAnsi="仿宋_GB2312" w:eastAsia="仿宋_GB2312" w:cs="仿宋_GB2312"/>
          <w:sz w:val="32"/>
        </w:rPr>
        <w:t>，学校占地面积28600㎡，建筑面积7799㎡，服务半径15公里，辐射16个行政村。学校现有教学班9个，学生215人，</w:t>
      </w:r>
      <w:r>
        <w:rPr>
          <w:rFonts w:hint="eastAsia" w:ascii="仿宋_GB2312" w:hAnsi="仿宋_GB2312" w:eastAsia="仿宋_GB2312" w:cs="仿宋_GB2312"/>
          <w:sz w:val="32"/>
        </w:rPr>
        <w:t>2022年末，</w:t>
      </w:r>
      <w:r>
        <w:rPr>
          <w:rFonts w:ascii="仿宋_GB2312" w:hAnsi="仿宋_GB2312" w:eastAsia="仿宋_GB2312" w:cs="仿宋_GB2312"/>
          <w:sz w:val="32"/>
        </w:rPr>
        <w:t>教职工58人。</w:t>
      </w:r>
    </w:p>
    <w:p>
      <w:pPr>
        <w:spacing w:line="560" w:lineRule="auto"/>
        <w:ind w:firstLine="640"/>
        <w:rPr>
          <w:rFonts w:ascii="仿宋_GB2312" w:hAnsi="仿宋_GB2312" w:eastAsia="仿宋_GB2312" w:cs="仿宋_GB2312"/>
          <w:sz w:val="32"/>
        </w:rPr>
      </w:pPr>
      <w:r>
        <w:rPr>
          <w:rFonts w:ascii="仿宋_GB2312" w:hAnsi="仿宋_GB2312" w:eastAsia="仿宋_GB2312" w:cs="仿宋_GB2312"/>
          <w:sz w:val="32"/>
        </w:rPr>
        <w:t>2.单位职能职责</w:t>
      </w:r>
    </w:p>
    <w:p>
      <w:pPr>
        <w:ind w:firstLine="640"/>
        <w:rPr>
          <w:rFonts w:ascii="仿宋_GB2312" w:hAnsi="仿宋_GB2312" w:eastAsia="仿宋_GB2312" w:cs="仿宋_GB2312"/>
          <w:sz w:val="32"/>
        </w:rPr>
      </w:pPr>
      <w:r>
        <w:rPr>
          <w:rFonts w:ascii="仿宋_GB2312" w:hAnsi="仿宋_GB2312" w:eastAsia="仿宋_GB2312" w:cs="仿宋_GB2312"/>
          <w:sz w:val="32"/>
        </w:rPr>
        <w:t>（1）贯彻执行党和国家的教育方针、政策和法规，制定陈户镇学区教育计划、办法和具体措施，并组织实施。</w:t>
      </w:r>
    </w:p>
    <w:p>
      <w:pPr>
        <w:ind w:firstLine="640"/>
        <w:rPr>
          <w:rFonts w:ascii="仿宋_GB2312" w:hAnsi="仿宋_GB2312" w:eastAsia="仿宋_GB2312" w:cs="仿宋_GB2312"/>
          <w:sz w:val="32"/>
        </w:rPr>
      </w:pPr>
      <w:r>
        <w:rPr>
          <w:rFonts w:ascii="仿宋_GB2312" w:hAnsi="仿宋_GB2312" w:eastAsia="仿宋_GB2312" w:cs="仿宋_GB2312"/>
          <w:sz w:val="32"/>
        </w:rPr>
        <w:t>（2）负责推进霍城镇学区义务教育均衡发展和促进教育公平，指导</w:t>
      </w:r>
      <w:r>
        <w:rPr>
          <w:rFonts w:hint="eastAsia" w:ascii="仿宋_GB2312" w:hAnsi="仿宋_GB2312" w:eastAsia="仿宋_GB2312" w:cs="仿宋_GB2312"/>
          <w:sz w:val="32"/>
        </w:rPr>
        <w:t>霍城</w:t>
      </w:r>
      <w:r>
        <w:rPr>
          <w:rFonts w:ascii="仿宋_GB2312" w:hAnsi="仿宋_GB2312" w:eastAsia="仿宋_GB2312" w:cs="仿宋_GB2312"/>
          <w:sz w:val="32"/>
        </w:rPr>
        <w:t>镇义务教育、幼儿教育工作。</w:t>
      </w:r>
    </w:p>
    <w:p>
      <w:pPr>
        <w:ind w:firstLine="640"/>
        <w:rPr>
          <w:rFonts w:ascii="仿宋_GB2312" w:hAnsi="仿宋_GB2312" w:eastAsia="仿宋_GB2312" w:cs="仿宋_GB2312"/>
          <w:sz w:val="32"/>
        </w:rPr>
      </w:pPr>
      <w:r>
        <w:rPr>
          <w:rFonts w:ascii="仿宋_GB2312" w:hAnsi="仿宋_GB2312" w:eastAsia="仿宋_GB2312" w:cs="仿宋_GB2312"/>
          <w:sz w:val="32"/>
        </w:rPr>
        <w:t>（3）负责本学区教育经费的统筹管理及教育基本建设、教学装备工作的投入。</w:t>
      </w:r>
    </w:p>
    <w:p>
      <w:pPr>
        <w:spacing w:line="560" w:lineRule="auto"/>
        <w:ind w:firstLine="640"/>
        <w:rPr>
          <w:rFonts w:ascii="楷体_GB2312" w:hAnsi="楷体_GB2312" w:eastAsia="楷体_GB2312" w:cs="楷体_GB2312"/>
          <w:sz w:val="32"/>
        </w:rPr>
      </w:pPr>
      <w:r>
        <w:rPr>
          <w:rFonts w:ascii="宋体" w:hAnsi="宋体" w:eastAsia="宋体" w:cs="宋体"/>
          <w:sz w:val="32"/>
        </w:rPr>
        <w:t>（二）年度重点工作</w:t>
      </w:r>
    </w:p>
    <w:p>
      <w:pPr>
        <w:spacing w:line="560" w:lineRule="auto"/>
        <w:ind w:firstLine="640"/>
        <w:rPr>
          <w:rFonts w:hint="eastAsia" w:ascii="仿宋" w:hAnsi="仿宋" w:eastAsia="仿宋" w:cs="仿宋"/>
          <w:sz w:val="32"/>
        </w:rPr>
      </w:pPr>
      <w:r>
        <w:rPr>
          <w:rFonts w:hint="eastAsia" w:ascii="仿宋" w:hAnsi="仿宋" w:eastAsia="仿宋" w:cs="仿宋"/>
          <w:sz w:val="32"/>
        </w:rPr>
        <w:t>全面贯彻落实党的教育方针政策，优先发展教育事业，以办好人民满意的教育为目标，落实立德树人根本任务，全面深化教育改革，规范学校管理，实施以人为本、科研兴校发展思路，优化校园环境，提升学校文化品位，提高师资水平。</w:t>
      </w:r>
      <w:r>
        <w:rPr>
          <w:rFonts w:ascii="仿宋_GB2312" w:hAnsi="仿宋_GB2312" w:eastAsia="仿宋_GB2312" w:cs="仿宋_GB2312"/>
          <w:sz w:val="32"/>
        </w:rPr>
        <w:t>完成本年度义务教育教学任务，</w:t>
      </w:r>
      <w:r>
        <w:rPr>
          <w:rFonts w:ascii="仿宋" w:hAnsi="仿宋" w:eastAsia="仿宋" w:cs="仿宋"/>
          <w:sz w:val="32"/>
        </w:rPr>
        <w:t>实现学生个性成长及创新能力的培养，促进学生的全面发展。</w:t>
      </w:r>
    </w:p>
    <w:p>
      <w:pPr>
        <w:spacing w:line="560" w:lineRule="auto"/>
        <w:ind w:firstLine="640"/>
        <w:rPr>
          <w:rFonts w:ascii="仿宋" w:hAnsi="仿宋" w:eastAsia="仿宋" w:cs="仿宋"/>
          <w:sz w:val="32"/>
        </w:rPr>
      </w:pPr>
      <w:r>
        <w:rPr>
          <w:rFonts w:ascii="仿宋" w:hAnsi="仿宋" w:eastAsia="仿宋" w:cs="仿宋"/>
          <w:sz w:val="32"/>
        </w:rPr>
        <w:t>1</w:t>
      </w:r>
      <w:r>
        <w:rPr>
          <w:rFonts w:hint="eastAsia" w:ascii="仿宋" w:hAnsi="仿宋" w:eastAsia="仿宋" w:cs="仿宋"/>
          <w:sz w:val="32"/>
        </w:rPr>
        <w:t>.</w:t>
      </w:r>
      <w:r>
        <w:rPr>
          <w:rFonts w:ascii="仿宋" w:hAnsi="仿宋" w:eastAsia="仿宋" w:cs="仿宋"/>
          <w:sz w:val="32"/>
        </w:rPr>
        <w:t>坚持全面从严治党，增强“四个意识”，坚定“四个自信”、做到“两个维护”，全力加强支部建设。</w:t>
      </w:r>
    </w:p>
    <w:p>
      <w:pPr>
        <w:spacing w:line="560" w:lineRule="auto"/>
        <w:ind w:firstLine="640"/>
        <w:rPr>
          <w:rFonts w:ascii="仿宋" w:hAnsi="仿宋" w:eastAsia="仿宋" w:cs="仿宋"/>
          <w:sz w:val="32"/>
        </w:rPr>
      </w:pPr>
      <w:r>
        <w:rPr>
          <w:rFonts w:ascii="仿宋" w:hAnsi="仿宋" w:eastAsia="仿宋" w:cs="仿宋"/>
          <w:sz w:val="32"/>
        </w:rPr>
        <w:t>2</w:t>
      </w:r>
      <w:r>
        <w:rPr>
          <w:rFonts w:hint="eastAsia" w:ascii="仿宋" w:hAnsi="仿宋" w:eastAsia="仿宋" w:cs="仿宋"/>
          <w:sz w:val="32"/>
        </w:rPr>
        <w:t>.</w:t>
      </w:r>
      <w:r>
        <w:rPr>
          <w:rFonts w:ascii="仿宋" w:hAnsi="仿宋" w:eastAsia="仿宋" w:cs="仿宋"/>
          <w:sz w:val="32"/>
        </w:rPr>
        <w:t>全面贯彻党的教育方针，稳步提高教育质量。</w:t>
      </w:r>
    </w:p>
    <w:p>
      <w:pPr>
        <w:spacing w:line="560" w:lineRule="auto"/>
        <w:ind w:firstLine="640"/>
        <w:rPr>
          <w:rFonts w:ascii="仿宋" w:hAnsi="仿宋" w:eastAsia="仿宋" w:cs="仿宋"/>
          <w:sz w:val="32"/>
        </w:rPr>
      </w:pPr>
      <w:r>
        <w:rPr>
          <w:rFonts w:ascii="仿宋" w:hAnsi="仿宋" w:eastAsia="仿宋" w:cs="仿宋"/>
          <w:sz w:val="32"/>
        </w:rPr>
        <w:t>3</w:t>
      </w:r>
      <w:r>
        <w:rPr>
          <w:rFonts w:hint="eastAsia" w:ascii="仿宋" w:hAnsi="仿宋" w:eastAsia="仿宋" w:cs="仿宋"/>
          <w:sz w:val="32"/>
        </w:rPr>
        <w:t>.</w:t>
      </w:r>
      <w:r>
        <w:rPr>
          <w:rFonts w:ascii="仿宋" w:hAnsi="仿宋" w:eastAsia="仿宋" w:cs="仿宋"/>
          <w:sz w:val="32"/>
        </w:rPr>
        <w:t>建设好一支结构合理、职能明确、配合协调、团结向上领导班子，力求实现教育教学实效化，并努力完成教育局所确定的各项工作指标。狠抓校园安全和常规管理、强化学校常规活动的开展。</w:t>
      </w:r>
    </w:p>
    <w:p>
      <w:pPr>
        <w:spacing w:line="560" w:lineRule="auto"/>
        <w:ind w:firstLine="640"/>
        <w:rPr>
          <w:rFonts w:ascii="仿宋" w:hAnsi="仿宋" w:eastAsia="仿宋" w:cs="仿宋"/>
          <w:sz w:val="32"/>
        </w:rPr>
      </w:pPr>
      <w:r>
        <w:rPr>
          <w:rFonts w:ascii="仿宋" w:hAnsi="仿宋" w:eastAsia="仿宋" w:cs="仿宋"/>
          <w:sz w:val="32"/>
        </w:rPr>
        <w:t>4</w:t>
      </w:r>
      <w:r>
        <w:rPr>
          <w:rFonts w:hint="eastAsia" w:ascii="仿宋" w:hAnsi="仿宋" w:eastAsia="仿宋" w:cs="仿宋"/>
          <w:sz w:val="32"/>
        </w:rPr>
        <w:t>.</w:t>
      </w:r>
      <w:r>
        <w:rPr>
          <w:rFonts w:ascii="仿宋" w:hAnsi="仿宋" w:eastAsia="仿宋" w:cs="仿宋"/>
          <w:sz w:val="32"/>
        </w:rPr>
        <w:t>加强师德师风建设、作风建设，建设好一支教育思想端正、责任性强，具有创新精神，教育教学能力强，教学效果好的教师团队。</w:t>
      </w:r>
    </w:p>
    <w:p>
      <w:pPr>
        <w:spacing w:line="560" w:lineRule="auto"/>
        <w:ind w:firstLine="640"/>
        <w:rPr>
          <w:rFonts w:ascii="仿宋" w:hAnsi="仿宋" w:eastAsia="仿宋" w:cs="仿宋"/>
          <w:sz w:val="32"/>
        </w:rPr>
      </w:pPr>
      <w:r>
        <w:rPr>
          <w:rFonts w:ascii="仿宋" w:hAnsi="仿宋" w:eastAsia="仿宋" w:cs="仿宋"/>
          <w:sz w:val="32"/>
        </w:rPr>
        <w:t>5</w:t>
      </w:r>
      <w:r>
        <w:rPr>
          <w:rFonts w:hint="eastAsia" w:ascii="仿宋" w:hAnsi="仿宋" w:eastAsia="仿宋" w:cs="仿宋"/>
          <w:sz w:val="32"/>
        </w:rPr>
        <w:t>.</w:t>
      </w:r>
      <w:r>
        <w:rPr>
          <w:rFonts w:ascii="仿宋" w:hAnsi="仿宋" w:eastAsia="仿宋" w:cs="仿宋"/>
          <w:sz w:val="32"/>
        </w:rPr>
        <w:t>深入推进课改，提高教师素质，优化课堂教学，开展形式多样的教学比武、体卫艺和德育教育活动，培养“科研型”教师。</w:t>
      </w:r>
    </w:p>
    <w:p>
      <w:pPr>
        <w:spacing w:line="560" w:lineRule="auto"/>
        <w:ind w:firstLine="640"/>
        <w:rPr>
          <w:rFonts w:ascii="仿宋" w:hAnsi="仿宋" w:eastAsia="仿宋" w:cs="仿宋"/>
          <w:sz w:val="32"/>
        </w:rPr>
      </w:pPr>
      <w:r>
        <w:rPr>
          <w:rFonts w:ascii="仿宋" w:hAnsi="仿宋" w:eastAsia="仿宋" w:cs="仿宋"/>
          <w:sz w:val="32"/>
        </w:rPr>
        <w:t>6</w:t>
      </w:r>
      <w:r>
        <w:rPr>
          <w:rFonts w:hint="eastAsia" w:ascii="仿宋" w:hAnsi="仿宋" w:eastAsia="仿宋" w:cs="仿宋"/>
          <w:sz w:val="32"/>
        </w:rPr>
        <w:t>.</w:t>
      </w:r>
      <w:r>
        <w:rPr>
          <w:rFonts w:ascii="仿宋" w:hAnsi="仿宋" w:eastAsia="仿宋" w:cs="仿宋"/>
          <w:sz w:val="32"/>
        </w:rPr>
        <w:t>加强校本教研，搞好年轻教师的培养，让年轻教师尽快成长，让人民群众、各级干部了解教育、关心教育、支持教育。</w:t>
      </w:r>
    </w:p>
    <w:p>
      <w:pPr>
        <w:spacing w:line="560" w:lineRule="auto"/>
        <w:ind w:firstLine="640"/>
        <w:rPr>
          <w:rFonts w:ascii="楷体_GB2312" w:hAnsi="楷体_GB2312" w:eastAsia="楷体_GB2312" w:cs="楷体_GB2312"/>
          <w:sz w:val="32"/>
        </w:rPr>
      </w:pPr>
      <w:r>
        <w:rPr>
          <w:rFonts w:ascii="宋体" w:hAnsi="宋体" w:eastAsia="宋体" w:cs="宋体"/>
          <w:sz w:val="32"/>
        </w:rPr>
        <w:t>（三）整体收支情况</w:t>
      </w:r>
    </w:p>
    <w:p>
      <w:pPr>
        <w:spacing w:line="560" w:lineRule="auto"/>
        <w:ind w:firstLine="640"/>
        <w:rPr>
          <w:rFonts w:ascii="仿宋_GB2312" w:hAnsi="仿宋_GB2312" w:eastAsia="仿宋_GB2312" w:cs="仿宋_GB2312"/>
          <w:sz w:val="32"/>
        </w:rPr>
      </w:pPr>
      <w:r>
        <w:rPr>
          <w:rFonts w:ascii="仿宋_GB2312" w:hAnsi="仿宋_GB2312" w:eastAsia="仿宋_GB2312" w:cs="仿宋_GB2312"/>
          <w:sz w:val="32"/>
        </w:rPr>
        <w:t>1.收入决算情况</w:t>
      </w:r>
    </w:p>
    <w:p>
      <w:pPr>
        <w:ind w:firstLine="640"/>
        <w:rPr>
          <w:rFonts w:ascii="仿宋_GB2312" w:hAnsi="仿宋_GB2312" w:eastAsia="仿宋_GB2312" w:cs="仿宋_GB2312"/>
          <w:sz w:val="32"/>
        </w:rPr>
      </w:pPr>
      <w:r>
        <w:rPr>
          <w:rFonts w:ascii="仿宋_GB2312" w:hAnsi="仿宋_GB2312" w:eastAsia="仿宋_GB2312" w:cs="仿宋_GB2312"/>
          <w:sz w:val="32"/>
        </w:rPr>
        <w:t>2022年，</w:t>
      </w:r>
      <w:r>
        <w:rPr>
          <w:rFonts w:hint="eastAsia" w:ascii="仿宋_GB2312" w:hAnsi="仿宋_GB2312" w:eastAsia="仿宋_GB2312" w:cs="仿宋_GB2312"/>
          <w:sz w:val="32"/>
        </w:rPr>
        <w:t>山丹县霍城学区</w:t>
      </w:r>
      <w:r>
        <w:rPr>
          <w:rFonts w:ascii="仿宋_GB2312" w:hAnsi="仿宋_GB2312" w:eastAsia="仿宋_GB2312" w:cs="仿宋_GB2312"/>
          <w:sz w:val="32"/>
        </w:rPr>
        <w:t>收入决算共计</w:t>
      </w:r>
      <w:r>
        <w:rPr>
          <w:rFonts w:hint="eastAsia" w:ascii="仿宋_GB2312" w:hAnsi="仿宋_GB2312" w:eastAsia="仿宋_GB2312" w:cs="仿宋_GB2312"/>
          <w:sz w:val="32"/>
        </w:rPr>
        <w:t>1290.64</w:t>
      </w:r>
      <w:r>
        <w:rPr>
          <w:rFonts w:ascii="仿宋_GB2312" w:hAnsi="仿宋_GB2312" w:eastAsia="仿宋_GB2312" w:cs="仿宋_GB2312"/>
          <w:sz w:val="32"/>
        </w:rPr>
        <w:t>万元，与上年相比增加</w:t>
      </w:r>
      <w:r>
        <w:rPr>
          <w:rFonts w:hint="eastAsia" w:ascii="仿宋_GB2312" w:hAnsi="仿宋_GB2312" w:eastAsia="仿宋_GB2312" w:cs="仿宋_GB2312"/>
          <w:sz w:val="32"/>
        </w:rPr>
        <w:t>375.83</w:t>
      </w:r>
      <w:r>
        <w:rPr>
          <w:rFonts w:ascii="仿宋_GB2312" w:hAnsi="仿宋_GB2312" w:eastAsia="仿宋_GB2312" w:cs="仿宋_GB2312"/>
          <w:sz w:val="32"/>
        </w:rPr>
        <w:t>万元，增加</w:t>
      </w:r>
      <w:r>
        <w:rPr>
          <w:rFonts w:hint="eastAsia" w:ascii="仿宋_GB2312" w:hAnsi="仿宋_GB2312" w:eastAsia="仿宋_GB2312" w:cs="仿宋_GB2312"/>
          <w:sz w:val="32"/>
        </w:rPr>
        <w:t>29.11</w:t>
      </w:r>
      <w:r>
        <w:rPr>
          <w:rFonts w:ascii="仿宋_GB2312" w:hAnsi="仿宋_GB2312" w:eastAsia="仿宋_GB2312" w:cs="仿宋_GB2312"/>
          <w:sz w:val="32"/>
        </w:rPr>
        <w:t>%,收入增加的原因主要</w:t>
      </w:r>
      <w:r>
        <w:rPr>
          <w:rFonts w:hint="eastAsia" w:ascii="仿宋_GB2312" w:hAnsi="仿宋_GB2312" w:eastAsia="仿宋_GB2312" w:cs="仿宋_GB2312"/>
          <w:sz w:val="32"/>
        </w:rPr>
        <w:t>一</w:t>
      </w:r>
      <w:r>
        <w:rPr>
          <w:rFonts w:ascii="仿宋_GB2312" w:hAnsi="仿宋_GB2312" w:eastAsia="仿宋_GB2312" w:cs="仿宋_GB2312"/>
          <w:sz w:val="32"/>
        </w:rPr>
        <w:t>是2022年较2021年人员工资增加</w:t>
      </w:r>
      <w:r>
        <w:rPr>
          <w:rFonts w:hint="eastAsia" w:ascii="仿宋_GB2312" w:hAnsi="仿宋_GB2312" w:eastAsia="仿宋_GB2312" w:cs="仿宋_GB2312"/>
          <w:sz w:val="32"/>
        </w:rPr>
        <w:t>，二是原山丹县马场三场中学人员并入霍城学区</w:t>
      </w:r>
      <w:r>
        <w:rPr>
          <w:rFonts w:ascii="仿宋_GB2312" w:hAnsi="仿宋_GB2312" w:eastAsia="仿宋_GB2312" w:cs="仿宋_GB2312"/>
          <w:sz w:val="32"/>
        </w:rPr>
        <w:t>。收入情况具体为：财政拨款收入</w:t>
      </w:r>
      <w:r>
        <w:rPr>
          <w:rFonts w:hint="eastAsia" w:ascii="仿宋_GB2312" w:hAnsi="仿宋_GB2312" w:eastAsia="仿宋_GB2312" w:cs="仿宋_GB2312"/>
          <w:sz w:val="32"/>
        </w:rPr>
        <w:t>1290.64</w:t>
      </w:r>
      <w:r>
        <w:rPr>
          <w:rFonts w:ascii="仿宋_GB2312" w:hAnsi="仿宋_GB2312" w:eastAsia="仿宋_GB2312" w:cs="仿宋_GB2312"/>
          <w:sz w:val="32"/>
        </w:rPr>
        <w:t>万元，占本年收入的100%，与上年相比增加</w:t>
      </w:r>
      <w:r>
        <w:rPr>
          <w:rFonts w:hint="eastAsia" w:ascii="仿宋_GB2312" w:hAnsi="仿宋_GB2312" w:eastAsia="仿宋_GB2312" w:cs="仿宋_GB2312"/>
          <w:sz w:val="32"/>
        </w:rPr>
        <w:t>29.11</w:t>
      </w:r>
      <w:r>
        <w:rPr>
          <w:rFonts w:ascii="仿宋_GB2312" w:hAnsi="仿宋_GB2312" w:eastAsia="仿宋_GB2312" w:cs="仿宋_GB2312"/>
          <w:sz w:val="32"/>
        </w:rPr>
        <w:t>%,%。</w:t>
      </w:r>
    </w:p>
    <w:p>
      <w:pPr>
        <w:spacing w:line="560" w:lineRule="auto"/>
        <w:ind w:firstLine="640"/>
        <w:rPr>
          <w:rFonts w:ascii="仿宋_GB2312" w:hAnsi="仿宋_GB2312" w:eastAsia="仿宋_GB2312" w:cs="仿宋_GB2312"/>
          <w:sz w:val="32"/>
        </w:rPr>
      </w:pPr>
      <w:r>
        <w:rPr>
          <w:rFonts w:ascii="仿宋_GB2312" w:hAnsi="仿宋_GB2312" w:eastAsia="仿宋_GB2312" w:cs="仿宋_GB2312"/>
          <w:sz w:val="32"/>
        </w:rPr>
        <w:t>2.支出决算情况</w:t>
      </w:r>
    </w:p>
    <w:p>
      <w:pPr>
        <w:ind w:firstLine="640"/>
        <w:rPr>
          <w:rFonts w:ascii="仿宋_GB2312" w:hAnsi="仿宋_GB2312" w:eastAsia="仿宋_GB2312" w:cs="仿宋_GB2312"/>
          <w:b/>
          <w:sz w:val="32"/>
        </w:rPr>
      </w:pPr>
      <w:r>
        <w:rPr>
          <w:rFonts w:ascii="仿宋_GB2312" w:hAnsi="仿宋_GB2312" w:eastAsia="仿宋_GB2312" w:cs="仿宋_GB2312"/>
          <w:sz w:val="32"/>
        </w:rPr>
        <w:t>2022年，山丹县霍城学区支出决算共计</w:t>
      </w:r>
      <w:r>
        <w:rPr>
          <w:rFonts w:hint="eastAsia" w:ascii="仿宋_GB2312" w:hAnsi="仿宋_GB2312" w:eastAsia="仿宋_GB2312" w:cs="仿宋_GB2312"/>
          <w:sz w:val="32"/>
        </w:rPr>
        <w:t>1290.64</w:t>
      </w:r>
      <w:r>
        <w:rPr>
          <w:rFonts w:ascii="仿宋_GB2312" w:hAnsi="仿宋_GB2312" w:eastAsia="仿宋_GB2312" w:cs="仿宋_GB2312"/>
          <w:sz w:val="32"/>
        </w:rPr>
        <w:t>万元，与上年相比增加</w:t>
      </w:r>
      <w:r>
        <w:rPr>
          <w:rFonts w:hint="eastAsia" w:ascii="仿宋_GB2312" w:hAnsi="仿宋_GB2312" w:eastAsia="仿宋_GB2312" w:cs="仿宋_GB2312"/>
          <w:sz w:val="32"/>
        </w:rPr>
        <w:t>375.83</w:t>
      </w:r>
      <w:r>
        <w:rPr>
          <w:rFonts w:ascii="仿宋_GB2312" w:hAnsi="仿宋_GB2312" w:eastAsia="仿宋_GB2312" w:cs="仿宋_GB2312"/>
          <w:sz w:val="32"/>
        </w:rPr>
        <w:t>万元，增加</w:t>
      </w:r>
      <w:r>
        <w:rPr>
          <w:rFonts w:hint="eastAsia" w:ascii="仿宋_GB2312" w:hAnsi="仿宋_GB2312" w:eastAsia="仿宋_GB2312" w:cs="仿宋_GB2312"/>
          <w:sz w:val="32"/>
        </w:rPr>
        <w:t>29.11</w:t>
      </w:r>
      <w:r>
        <w:rPr>
          <w:rFonts w:ascii="仿宋_GB2312" w:hAnsi="仿宋_GB2312" w:eastAsia="仿宋_GB2312" w:cs="仿宋_GB2312"/>
          <w:sz w:val="32"/>
        </w:rPr>
        <w:t>%,，支出情况具体为：</w:t>
      </w:r>
    </w:p>
    <w:p>
      <w:pPr>
        <w:ind w:firstLine="640"/>
        <w:rPr>
          <w:rFonts w:ascii="仿宋_GB2312" w:hAnsi="仿宋_GB2312" w:eastAsia="仿宋_GB2312" w:cs="仿宋_GB2312"/>
          <w:sz w:val="32"/>
        </w:rPr>
      </w:pPr>
      <w:r>
        <w:rPr>
          <w:rFonts w:ascii="仿宋_GB2312" w:hAnsi="仿宋_GB2312" w:eastAsia="仿宋_GB2312" w:cs="仿宋_GB2312"/>
          <w:sz w:val="32"/>
        </w:rPr>
        <w:t>基本支出</w:t>
      </w:r>
      <w:r>
        <w:rPr>
          <w:rFonts w:hint="eastAsia" w:ascii="仿宋_GB2312" w:hAnsi="仿宋_GB2312" w:eastAsia="仿宋_GB2312" w:cs="仿宋_GB2312"/>
          <w:sz w:val="32"/>
        </w:rPr>
        <w:t>1290.64</w:t>
      </w:r>
      <w:r>
        <w:rPr>
          <w:rFonts w:ascii="仿宋_GB2312" w:hAnsi="仿宋_GB2312" w:eastAsia="仿宋_GB2312" w:cs="仿宋_GB2312"/>
          <w:sz w:val="32"/>
        </w:rPr>
        <w:t>万元,占总支出的比重为100 %，比上年增加</w:t>
      </w:r>
      <w:r>
        <w:rPr>
          <w:rFonts w:hint="eastAsia" w:ascii="仿宋_GB2312" w:hAnsi="仿宋_GB2312" w:eastAsia="仿宋_GB2312" w:cs="仿宋_GB2312"/>
          <w:sz w:val="32"/>
        </w:rPr>
        <w:t>375.83</w:t>
      </w:r>
      <w:r>
        <w:rPr>
          <w:rFonts w:ascii="仿宋_GB2312" w:hAnsi="仿宋_GB2312" w:eastAsia="仿宋_GB2312" w:cs="仿宋_GB2312"/>
          <w:sz w:val="32"/>
        </w:rPr>
        <w:t>万元，增加</w:t>
      </w:r>
      <w:r>
        <w:rPr>
          <w:rFonts w:hint="eastAsia" w:ascii="仿宋_GB2312" w:hAnsi="仿宋_GB2312" w:eastAsia="仿宋_GB2312" w:cs="仿宋_GB2312"/>
          <w:sz w:val="32"/>
        </w:rPr>
        <w:t>29.11</w:t>
      </w:r>
      <w:r>
        <w:rPr>
          <w:rFonts w:ascii="仿宋_GB2312" w:hAnsi="仿宋_GB2312" w:eastAsia="仿宋_GB2312" w:cs="仿宋_GB2312"/>
          <w:sz w:val="32"/>
        </w:rPr>
        <w:t>%，主要原因</w:t>
      </w:r>
      <w:r>
        <w:rPr>
          <w:rFonts w:hint="eastAsia" w:ascii="仿宋_GB2312" w:hAnsi="仿宋_GB2312" w:eastAsia="仿宋_GB2312" w:cs="仿宋_GB2312"/>
          <w:sz w:val="32"/>
        </w:rPr>
        <w:t>一</w:t>
      </w:r>
      <w:r>
        <w:rPr>
          <w:rFonts w:ascii="仿宋_GB2312" w:hAnsi="仿宋_GB2312" w:eastAsia="仿宋_GB2312" w:cs="仿宋_GB2312"/>
          <w:sz w:val="32"/>
        </w:rPr>
        <w:t>是2022年较2021年人员工资增加</w:t>
      </w:r>
      <w:r>
        <w:rPr>
          <w:rFonts w:hint="eastAsia" w:ascii="仿宋_GB2312" w:hAnsi="仿宋_GB2312" w:eastAsia="仿宋_GB2312" w:cs="仿宋_GB2312"/>
          <w:sz w:val="32"/>
        </w:rPr>
        <w:t>，二是原山丹县马场三场中学人员并入霍城学区</w:t>
      </w:r>
      <w:r>
        <w:rPr>
          <w:rFonts w:ascii="仿宋_GB2312" w:hAnsi="仿宋_GB2312" w:eastAsia="仿宋_GB2312" w:cs="仿宋_GB2312"/>
          <w:sz w:val="32"/>
        </w:rPr>
        <w:t>。</w:t>
      </w:r>
    </w:p>
    <w:p>
      <w:pPr>
        <w:ind w:firstLine="640"/>
        <w:rPr>
          <w:rFonts w:ascii="黑体" w:hAnsi="黑体" w:eastAsia="黑体" w:cs="黑体"/>
          <w:sz w:val="32"/>
        </w:rPr>
      </w:pPr>
      <w:r>
        <w:rPr>
          <w:rFonts w:ascii="黑体" w:hAnsi="黑体" w:eastAsia="黑体" w:cs="黑体"/>
          <w:sz w:val="32"/>
        </w:rPr>
        <w:t>二、整体支出管理及使用情况</w:t>
      </w:r>
    </w:p>
    <w:p>
      <w:pPr>
        <w:spacing w:line="560" w:lineRule="auto"/>
        <w:ind w:firstLine="640"/>
        <w:rPr>
          <w:rFonts w:ascii="仿宋_GB2312" w:hAnsi="仿宋_GB2312" w:eastAsia="仿宋_GB2312" w:cs="仿宋_GB2312"/>
          <w:sz w:val="32"/>
        </w:rPr>
      </w:pPr>
      <w:r>
        <w:rPr>
          <w:rFonts w:ascii="仿宋_GB2312" w:hAnsi="仿宋_GB2312" w:eastAsia="仿宋_GB2312" w:cs="仿宋_GB2312"/>
          <w:sz w:val="32"/>
        </w:rPr>
        <w:t>（一）基本支出</w:t>
      </w:r>
    </w:p>
    <w:p>
      <w:pPr>
        <w:ind w:firstLine="640"/>
        <w:rPr>
          <w:rFonts w:ascii="仿宋_GB2312" w:hAnsi="仿宋_GB2312" w:eastAsia="仿宋_GB2312" w:cs="仿宋_GB2312"/>
          <w:sz w:val="32"/>
        </w:rPr>
      </w:pPr>
      <w:r>
        <w:rPr>
          <w:rFonts w:ascii="仿宋_GB2312" w:hAnsi="仿宋_GB2312" w:eastAsia="仿宋_GB2312" w:cs="仿宋_GB2312"/>
          <w:sz w:val="32"/>
        </w:rPr>
        <w:t>2022年，山丹县霍城学区一般公共预算财政拨款基本支出</w:t>
      </w:r>
      <w:r>
        <w:rPr>
          <w:rFonts w:hint="eastAsia" w:ascii="仿宋_GB2312" w:hAnsi="仿宋_GB2312" w:eastAsia="仿宋_GB2312" w:cs="仿宋_GB2312"/>
          <w:sz w:val="32"/>
        </w:rPr>
        <w:t>1290.64</w:t>
      </w:r>
      <w:r>
        <w:rPr>
          <w:rFonts w:ascii="仿宋_GB2312" w:hAnsi="仿宋_GB2312" w:eastAsia="仿宋_GB2312" w:cs="仿宋_GB2312"/>
          <w:sz w:val="32"/>
        </w:rPr>
        <w:t>万元，比上年增加</w:t>
      </w:r>
      <w:r>
        <w:rPr>
          <w:rFonts w:hint="eastAsia" w:ascii="仿宋_GB2312" w:hAnsi="仿宋_GB2312" w:eastAsia="仿宋_GB2312" w:cs="仿宋_GB2312"/>
          <w:sz w:val="32"/>
        </w:rPr>
        <w:t>375.83</w:t>
      </w:r>
      <w:r>
        <w:rPr>
          <w:rFonts w:ascii="仿宋_GB2312" w:hAnsi="仿宋_GB2312" w:eastAsia="仿宋_GB2312" w:cs="仿宋_GB2312"/>
          <w:sz w:val="32"/>
        </w:rPr>
        <w:t>万元，增加</w:t>
      </w:r>
      <w:r>
        <w:rPr>
          <w:rFonts w:hint="eastAsia" w:ascii="仿宋_GB2312" w:hAnsi="仿宋_GB2312" w:eastAsia="仿宋_GB2312" w:cs="仿宋_GB2312"/>
          <w:sz w:val="32"/>
        </w:rPr>
        <w:t>29.11</w:t>
      </w:r>
      <w:r>
        <w:rPr>
          <w:rFonts w:ascii="仿宋_GB2312" w:hAnsi="仿宋_GB2312" w:eastAsia="仿宋_GB2312" w:cs="仿宋_GB2312"/>
          <w:sz w:val="32"/>
        </w:rPr>
        <w:t>%，主要原因</w:t>
      </w:r>
      <w:r>
        <w:rPr>
          <w:rFonts w:hint="eastAsia" w:ascii="仿宋_GB2312" w:hAnsi="仿宋_GB2312" w:eastAsia="仿宋_GB2312" w:cs="仿宋_GB2312"/>
          <w:sz w:val="32"/>
        </w:rPr>
        <w:t>一</w:t>
      </w:r>
      <w:r>
        <w:rPr>
          <w:rFonts w:ascii="仿宋_GB2312" w:hAnsi="仿宋_GB2312" w:eastAsia="仿宋_GB2312" w:cs="仿宋_GB2312"/>
          <w:sz w:val="32"/>
        </w:rPr>
        <w:t>是2022年较2021年人员工资增加</w:t>
      </w:r>
      <w:r>
        <w:rPr>
          <w:rFonts w:hint="eastAsia" w:ascii="仿宋_GB2312" w:hAnsi="仿宋_GB2312" w:eastAsia="仿宋_GB2312" w:cs="仿宋_GB2312"/>
          <w:sz w:val="32"/>
        </w:rPr>
        <w:t>，二是原山丹县马场三场中学人员并入霍城学区</w:t>
      </w:r>
      <w:r>
        <w:rPr>
          <w:rFonts w:ascii="仿宋_GB2312" w:hAnsi="仿宋_GB2312" w:eastAsia="仿宋_GB2312" w:cs="仿宋_GB2312"/>
          <w:sz w:val="32"/>
        </w:rPr>
        <w:t>。</w:t>
      </w:r>
    </w:p>
    <w:p>
      <w:pPr>
        <w:spacing w:line="560" w:lineRule="auto"/>
        <w:ind w:firstLine="640"/>
        <w:rPr>
          <w:rFonts w:ascii="仿宋_GB2312" w:hAnsi="仿宋_GB2312" w:eastAsia="仿宋_GB2312" w:cs="仿宋_GB2312"/>
          <w:sz w:val="32"/>
        </w:rPr>
      </w:pPr>
      <w:r>
        <w:rPr>
          <w:rFonts w:ascii="仿宋_GB2312" w:hAnsi="仿宋_GB2312" w:eastAsia="仿宋_GB2312" w:cs="仿宋_GB2312"/>
          <w:sz w:val="32"/>
        </w:rPr>
        <w:t>（二）项目支出</w:t>
      </w:r>
    </w:p>
    <w:p>
      <w:pPr>
        <w:spacing w:line="560" w:lineRule="auto"/>
        <w:ind w:firstLine="640"/>
        <w:rPr>
          <w:rFonts w:ascii="仿宋_GB2312" w:hAnsi="仿宋_GB2312" w:eastAsia="仿宋_GB2312" w:cs="仿宋_GB2312"/>
          <w:sz w:val="32"/>
        </w:rPr>
      </w:pPr>
      <w:r>
        <w:rPr>
          <w:rFonts w:ascii="仿宋_GB2312" w:hAnsi="仿宋_GB2312" w:eastAsia="仿宋_GB2312" w:cs="仿宋_GB2312"/>
          <w:sz w:val="32"/>
        </w:rPr>
        <w:t>2022年，山丹县霍城学区</w:t>
      </w:r>
      <w:r>
        <w:rPr>
          <w:rFonts w:hint="eastAsia" w:ascii="仿宋_GB2312" w:hAnsi="仿宋_GB2312" w:eastAsia="仿宋_GB2312" w:cs="仿宋_GB2312"/>
          <w:sz w:val="32"/>
        </w:rPr>
        <w:t>无项目支出</w:t>
      </w:r>
      <w:r>
        <w:rPr>
          <w:rFonts w:ascii="仿宋" w:hAnsi="仿宋" w:eastAsia="仿宋" w:cs="仿宋"/>
          <w:sz w:val="32"/>
        </w:rPr>
        <w:t>。</w:t>
      </w:r>
    </w:p>
    <w:p>
      <w:pPr>
        <w:spacing w:line="560" w:lineRule="auto"/>
        <w:ind w:firstLine="640"/>
        <w:rPr>
          <w:rFonts w:ascii="仿宋_GB2312" w:hAnsi="仿宋_GB2312" w:eastAsia="仿宋_GB2312" w:cs="仿宋_GB2312"/>
          <w:sz w:val="32"/>
        </w:rPr>
      </w:pPr>
      <w:r>
        <w:rPr>
          <w:rFonts w:ascii="仿宋_GB2312" w:hAnsi="仿宋_GB2312" w:eastAsia="仿宋_GB2312" w:cs="仿宋_GB2312"/>
          <w:sz w:val="32"/>
        </w:rPr>
        <w:t>（三）“三公”经费决算说明</w:t>
      </w:r>
    </w:p>
    <w:p>
      <w:pPr>
        <w:ind w:firstLine="640"/>
        <w:rPr>
          <w:rFonts w:ascii="仿宋_GB2312" w:hAnsi="仿宋_GB2312" w:eastAsia="仿宋_GB2312" w:cs="仿宋_GB2312"/>
          <w:sz w:val="32"/>
        </w:rPr>
      </w:pPr>
      <w:r>
        <w:rPr>
          <w:rFonts w:ascii="仿宋_GB2312" w:hAnsi="仿宋_GB2312" w:eastAsia="仿宋_GB2312" w:cs="仿宋_GB2312"/>
          <w:sz w:val="32"/>
        </w:rPr>
        <w:t>2022年度，山丹县霍城学区无因公出国（境）费；无公务用车购置及运行费；无公务接待费，“三公”经费财政拨款支出0万元。</w:t>
      </w:r>
    </w:p>
    <w:p>
      <w:pPr>
        <w:spacing w:line="560" w:lineRule="auto"/>
        <w:ind w:firstLine="640"/>
        <w:rPr>
          <w:rFonts w:ascii="仿宋_GB2312" w:hAnsi="仿宋_GB2312" w:eastAsia="仿宋_GB2312" w:cs="仿宋_GB2312"/>
          <w:sz w:val="32"/>
        </w:rPr>
      </w:pPr>
      <w:r>
        <w:rPr>
          <w:rFonts w:ascii="仿宋_GB2312" w:hAnsi="仿宋_GB2312" w:eastAsia="仿宋_GB2312" w:cs="仿宋_GB2312"/>
          <w:sz w:val="32"/>
        </w:rPr>
        <w:t>（四）支出管理情况</w:t>
      </w:r>
    </w:p>
    <w:p>
      <w:pPr>
        <w:ind w:firstLine="640"/>
        <w:rPr>
          <w:rFonts w:ascii="仿宋_GB2312" w:hAnsi="仿宋_GB2312" w:eastAsia="仿宋_GB2312" w:cs="仿宋_GB2312"/>
          <w:sz w:val="32"/>
        </w:rPr>
      </w:pPr>
      <w:r>
        <w:rPr>
          <w:rFonts w:ascii="仿宋_GB2312" w:hAnsi="仿宋_GB2312" w:eastAsia="仿宋_GB2312" w:cs="仿宋_GB2312"/>
          <w:sz w:val="32"/>
        </w:rPr>
        <w:t xml:space="preserve"> 2022年，山丹县霍城学区一般公共预算财政拨款基本支出</w:t>
      </w:r>
      <w:r>
        <w:rPr>
          <w:rFonts w:hint="eastAsia" w:ascii="仿宋_GB2312" w:hAnsi="仿宋_GB2312" w:eastAsia="仿宋_GB2312" w:cs="仿宋_GB2312"/>
          <w:sz w:val="32"/>
        </w:rPr>
        <w:t>1290.64</w:t>
      </w:r>
      <w:r>
        <w:rPr>
          <w:rFonts w:ascii="仿宋_GB2312" w:hAnsi="仿宋_GB2312" w:eastAsia="仿宋_GB2312" w:cs="仿宋_GB2312"/>
          <w:sz w:val="32"/>
        </w:rPr>
        <w:t>万元，比上年增加</w:t>
      </w:r>
      <w:r>
        <w:rPr>
          <w:rFonts w:hint="eastAsia" w:ascii="仿宋_GB2312" w:hAnsi="仿宋_GB2312" w:eastAsia="仿宋_GB2312" w:cs="仿宋_GB2312"/>
          <w:sz w:val="32"/>
        </w:rPr>
        <w:t>375.83</w:t>
      </w:r>
      <w:r>
        <w:rPr>
          <w:rFonts w:ascii="仿宋_GB2312" w:hAnsi="仿宋_GB2312" w:eastAsia="仿宋_GB2312" w:cs="仿宋_GB2312"/>
          <w:sz w:val="32"/>
        </w:rPr>
        <w:t>万元，增加</w:t>
      </w:r>
      <w:r>
        <w:rPr>
          <w:rFonts w:hint="eastAsia" w:ascii="仿宋_GB2312" w:hAnsi="仿宋_GB2312" w:eastAsia="仿宋_GB2312" w:cs="仿宋_GB2312"/>
          <w:sz w:val="32"/>
        </w:rPr>
        <w:t>29.11</w:t>
      </w:r>
      <w:r>
        <w:rPr>
          <w:rFonts w:ascii="仿宋_GB2312" w:hAnsi="仿宋_GB2312" w:eastAsia="仿宋_GB2312" w:cs="仿宋_GB2312"/>
          <w:sz w:val="32"/>
        </w:rPr>
        <w:t>%，主要原因</w:t>
      </w:r>
      <w:r>
        <w:rPr>
          <w:rFonts w:hint="eastAsia" w:ascii="仿宋_GB2312" w:hAnsi="仿宋_GB2312" w:eastAsia="仿宋_GB2312" w:cs="仿宋_GB2312"/>
          <w:sz w:val="32"/>
        </w:rPr>
        <w:t>一</w:t>
      </w:r>
      <w:r>
        <w:rPr>
          <w:rFonts w:ascii="仿宋_GB2312" w:hAnsi="仿宋_GB2312" w:eastAsia="仿宋_GB2312" w:cs="仿宋_GB2312"/>
          <w:sz w:val="32"/>
        </w:rPr>
        <w:t>是2022年较2021年人员工资增加</w:t>
      </w:r>
      <w:r>
        <w:rPr>
          <w:rFonts w:hint="eastAsia" w:ascii="仿宋_GB2312" w:hAnsi="仿宋_GB2312" w:eastAsia="仿宋_GB2312" w:cs="仿宋_GB2312"/>
          <w:sz w:val="32"/>
        </w:rPr>
        <w:t>，二是原山丹县马场三场中学人员并入霍城学区</w:t>
      </w:r>
      <w:r>
        <w:rPr>
          <w:rFonts w:ascii="仿宋_GB2312" w:hAnsi="仿宋_GB2312" w:eastAsia="仿宋_GB2312" w:cs="仿宋_GB2312"/>
          <w:sz w:val="32"/>
        </w:rPr>
        <w:t>。</w:t>
      </w:r>
    </w:p>
    <w:p>
      <w:pPr>
        <w:ind w:firstLine="640"/>
        <w:rPr>
          <w:rFonts w:ascii="仿宋_GB2312" w:hAnsi="仿宋_GB2312" w:eastAsia="仿宋_GB2312" w:cs="仿宋_GB2312"/>
          <w:sz w:val="32"/>
        </w:rPr>
      </w:pPr>
      <w:r>
        <w:rPr>
          <w:rFonts w:ascii="仿宋_GB2312" w:hAnsi="仿宋_GB2312" w:eastAsia="仿宋_GB2312" w:cs="仿宋_GB2312"/>
          <w:sz w:val="32"/>
        </w:rPr>
        <w:t>（五）资产管理情况</w:t>
      </w:r>
    </w:p>
    <w:p>
      <w:pPr>
        <w:spacing w:line="560" w:lineRule="auto"/>
        <w:ind w:firstLine="640"/>
        <w:rPr>
          <w:rFonts w:ascii="仿宋_GB2312" w:hAnsi="仿宋_GB2312" w:eastAsia="仿宋_GB2312" w:cs="仿宋_GB2312"/>
          <w:sz w:val="32"/>
        </w:rPr>
      </w:pPr>
      <w:r>
        <w:rPr>
          <w:rFonts w:ascii="仿宋_GB2312" w:hAnsi="仿宋_GB2312" w:eastAsia="仿宋_GB2312" w:cs="仿宋_GB2312"/>
          <w:sz w:val="32"/>
        </w:rPr>
        <w:t>2022年，山丹县霍城学区</w:t>
      </w:r>
      <w:r>
        <w:rPr>
          <w:rFonts w:hint="eastAsia" w:ascii="仿宋_GB2312" w:hAnsi="仿宋_GB2312" w:eastAsia="仿宋_GB2312" w:cs="仿宋_GB2312"/>
          <w:sz w:val="32"/>
        </w:rPr>
        <w:t>新购固定资产13.1392</w:t>
      </w:r>
      <w:r>
        <w:rPr>
          <w:rFonts w:ascii="仿宋_GB2312" w:hAnsi="仿宋_GB2312" w:eastAsia="仿宋_GB2312" w:cs="仿宋_GB2312"/>
          <w:sz w:val="32"/>
        </w:rPr>
        <w:t>万元，其中：政府采购货物支出</w:t>
      </w:r>
      <w:r>
        <w:rPr>
          <w:rFonts w:hint="eastAsia" w:ascii="仿宋_GB2312" w:hAnsi="仿宋_GB2312" w:eastAsia="仿宋_GB2312" w:cs="仿宋_GB2312"/>
          <w:sz w:val="32"/>
        </w:rPr>
        <w:t>13.1392</w:t>
      </w:r>
      <w:r>
        <w:rPr>
          <w:rFonts w:ascii="仿宋_GB2312" w:hAnsi="仿宋_GB2312" w:eastAsia="仿宋_GB2312" w:cs="仿宋_GB2312"/>
          <w:sz w:val="32"/>
        </w:rPr>
        <w:t>万元，主要是学校购置打印机电脑及</w:t>
      </w:r>
      <w:r>
        <w:rPr>
          <w:rFonts w:hint="eastAsia" w:ascii="仿宋_GB2312" w:hAnsi="仿宋_GB2312" w:eastAsia="仿宋_GB2312" w:cs="仿宋_GB2312"/>
          <w:sz w:val="32"/>
        </w:rPr>
        <w:t>桌椅等</w:t>
      </w:r>
      <w:r>
        <w:rPr>
          <w:rFonts w:ascii="仿宋_GB2312" w:hAnsi="仿宋_GB2312" w:eastAsia="仿宋_GB2312" w:cs="仿宋_GB2312"/>
          <w:sz w:val="32"/>
        </w:rPr>
        <w:t>。政府采购工程支出0万元，政府采购服务支出0万元，</w:t>
      </w:r>
      <w:r>
        <w:rPr>
          <w:rFonts w:ascii="仿宋_GB2312" w:hAnsi="仿宋_GB2312" w:eastAsia="仿宋_GB2312" w:cs="仿宋_GB2312"/>
          <w:color w:val="333333"/>
          <w:sz w:val="32"/>
          <w:shd w:val="clear" w:color="auto" w:fill="FFFFFF"/>
        </w:rPr>
        <w:t>授予中小企业的合同金额</w:t>
      </w:r>
      <w:r>
        <w:rPr>
          <w:rFonts w:hint="eastAsia" w:ascii="仿宋_GB2312" w:hAnsi="仿宋_GB2312" w:eastAsia="仿宋_GB2312" w:cs="仿宋_GB2312"/>
          <w:sz w:val="32"/>
        </w:rPr>
        <w:t>13.1392</w:t>
      </w:r>
      <w:r>
        <w:rPr>
          <w:rFonts w:ascii="仿宋_GB2312" w:hAnsi="仿宋_GB2312" w:eastAsia="仿宋_GB2312" w:cs="仿宋_GB2312"/>
          <w:color w:val="333333"/>
          <w:sz w:val="32"/>
          <w:shd w:val="clear" w:color="auto" w:fill="FFFFFF"/>
        </w:rPr>
        <w:t>万元，占政府采购支出总金额的100%</w:t>
      </w:r>
      <w:r>
        <w:rPr>
          <w:rFonts w:ascii="仿宋_GB2312" w:hAnsi="仿宋_GB2312" w:eastAsia="仿宋_GB2312" w:cs="仿宋_GB2312"/>
          <w:sz w:val="32"/>
        </w:rPr>
        <w:t>。</w:t>
      </w:r>
      <w:r>
        <w:rPr>
          <w:rFonts w:hint="eastAsia" w:ascii="仿宋_GB2312" w:hAnsi="仿宋_GB2312" w:eastAsia="仿宋_GB2312" w:cs="仿宋_GB2312"/>
          <w:sz w:val="32"/>
        </w:rPr>
        <w:t>2022年，原山丹县马场三场中学固定资产原值3332754.90元整体划拨山丹县霍城学区。</w:t>
      </w:r>
    </w:p>
    <w:p>
      <w:pPr>
        <w:spacing w:line="560" w:lineRule="auto"/>
        <w:ind w:firstLine="640"/>
        <w:rPr>
          <w:rFonts w:ascii="黑体" w:hAnsi="黑体" w:eastAsia="黑体" w:cs="黑体"/>
          <w:sz w:val="32"/>
        </w:rPr>
      </w:pPr>
      <w:r>
        <w:rPr>
          <w:rFonts w:ascii="黑体" w:hAnsi="黑体" w:eastAsia="黑体" w:cs="黑体"/>
          <w:sz w:val="32"/>
        </w:rPr>
        <w:t>三、整体支出绩效情况</w:t>
      </w:r>
    </w:p>
    <w:p>
      <w:pPr>
        <w:spacing w:line="560" w:lineRule="auto"/>
        <w:ind w:firstLine="640"/>
        <w:rPr>
          <w:rFonts w:hint="eastAsia" w:ascii="仿宋_GB2312" w:hAnsi="仿宋_GB2312" w:eastAsia="仿宋_GB2312" w:cs="仿宋_GB2312"/>
          <w:sz w:val="32"/>
        </w:rPr>
      </w:pPr>
      <w:r>
        <w:rPr>
          <w:rFonts w:ascii="仿宋_GB2312" w:hAnsi="仿宋_GB2312" w:eastAsia="仿宋_GB2312" w:cs="仿宋_GB2312"/>
          <w:sz w:val="32"/>
        </w:rPr>
        <w:t>本部门本年度项目支出绩效总体良好，各项目标达到了相应时期执行进度，使财政收支预算执行都得了良好的制度保障和实施效果。</w:t>
      </w:r>
    </w:p>
    <w:p>
      <w:pPr>
        <w:spacing w:line="560" w:lineRule="auto"/>
        <w:ind w:firstLine="640"/>
        <w:rPr>
          <w:rFonts w:hint="eastAsia" w:ascii="仿宋_GB2312" w:hAnsi="仿宋_GB2312" w:eastAsia="仿宋_GB2312" w:cs="仿宋_GB2312"/>
          <w:sz w:val="32"/>
        </w:rPr>
      </w:pPr>
      <w:r>
        <w:rPr>
          <w:rFonts w:ascii="仿宋_GB2312" w:hAnsi="仿宋_GB2312" w:eastAsia="仿宋_GB2312" w:cs="仿宋_GB2312"/>
          <w:sz w:val="32"/>
        </w:rPr>
        <w:t>20</w:t>
      </w:r>
      <w:r>
        <w:rPr>
          <w:rFonts w:hint="eastAsia" w:ascii="仿宋_GB2312" w:hAnsi="仿宋_GB2312" w:eastAsia="仿宋_GB2312" w:cs="仿宋_GB2312"/>
          <w:sz w:val="32"/>
        </w:rPr>
        <w:t>22</w:t>
      </w:r>
      <w:r>
        <w:rPr>
          <w:rFonts w:ascii="仿宋_GB2312" w:hAnsi="仿宋_GB2312" w:eastAsia="仿宋_GB2312" w:cs="仿宋_GB2312"/>
          <w:sz w:val="32"/>
        </w:rPr>
        <w:t>年度，</w:t>
      </w:r>
      <w:r>
        <w:rPr>
          <w:rFonts w:hint="eastAsia" w:ascii="仿宋_GB2312" w:hAnsi="仿宋_GB2312" w:eastAsia="仿宋_GB2312" w:cs="仿宋_GB2312"/>
          <w:sz w:val="32"/>
        </w:rPr>
        <w:t>山丹县霍城学区</w:t>
      </w:r>
      <w:r>
        <w:rPr>
          <w:rFonts w:ascii="仿宋_GB2312" w:hAnsi="仿宋_GB2312" w:eastAsia="仿宋_GB2312" w:cs="仿宋_GB2312"/>
          <w:sz w:val="32"/>
        </w:rPr>
        <w:t>较好的履行了工作职责，较好的完成了20</w:t>
      </w:r>
      <w:r>
        <w:rPr>
          <w:rFonts w:hint="eastAsia" w:ascii="仿宋_GB2312" w:hAnsi="仿宋_GB2312" w:eastAsia="仿宋_GB2312" w:cs="仿宋_GB2312"/>
          <w:sz w:val="32"/>
        </w:rPr>
        <w:t>22</w:t>
      </w:r>
      <w:r>
        <w:rPr>
          <w:rFonts w:ascii="仿宋_GB2312" w:hAnsi="仿宋_GB2312" w:eastAsia="仿宋_GB2312" w:cs="仿宋_GB2312"/>
          <w:sz w:val="32"/>
        </w:rPr>
        <w:t>年度的工作目标和任务，在办学行为、师德师风建设、学生德育、校园安全等方面取得显著成效，以“办好人民满意教育”为主题，不断夯实工作，努力推动学校向更高的目标迈进，深化教育教学改革、全面提升办学质量。坚持立德树人，不断加强思想政治工作；强化项目引领，持续推进专业课程建设；突出教育教学，切实提高人才培养水平。</w:t>
      </w:r>
    </w:p>
    <w:p>
      <w:pPr>
        <w:spacing w:line="560" w:lineRule="auto"/>
        <w:ind w:firstLine="640"/>
        <w:rPr>
          <w:rFonts w:hint="eastAsia" w:ascii="仿宋_GB2312" w:hAnsi="仿宋_GB2312" w:eastAsia="仿宋_GB2312" w:cs="仿宋_GB2312"/>
          <w:sz w:val="32"/>
        </w:rPr>
      </w:pPr>
      <w:r>
        <w:rPr>
          <w:rFonts w:hint="eastAsia" w:ascii="仿宋_GB2312" w:hAnsi="仿宋_GB2312" w:eastAsia="仿宋_GB2312" w:cs="仿宋_GB2312"/>
          <w:sz w:val="32"/>
        </w:rPr>
        <w:t>2022年度，</w:t>
      </w:r>
      <w:r>
        <w:rPr>
          <w:rFonts w:ascii="仿宋_GB2312" w:hAnsi="仿宋_GB2312" w:eastAsia="仿宋_GB2312" w:cs="仿宋_GB2312"/>
          <w:sz w:val="32"/>
        </w:rPr>
        <w:t>教育基本投入经费的使用，以确保学校教育教学工作的有效开展以及学校工作的正常运转。学校的办公费、教学活动费、人员经费、教学仪器设备费得到基本充实，学校办学条件已有所改善，通过20</w:t>
      </w:r>
      <w:r>
        <w:rPr>
          <w:rFonts w:hint="eastAsia" w:ascii="仿宋_GB2312" w:hAnsi="仿宋_GB2312" w:eastAsia="仿宋_GB2312" w:cs="仿宋_GB2312"/>
          <w:sz w:val="32"/>
        </w:rPr>
        <w:t>22</w:t>
      </w:r>
      <w:r>
        <w:rPr>
          <w:rFonts w:ascii="仿宋_GB2312" w:hAnsi="仿宋_GB2312" w:eastAsia="仿宋_GB2312" w:cs="仿宋_GB2312"/>
          <w:sz w:val="32"/>
        </w:rPr>
        <w:t>年各项资金的合理使用，保障了学校正常运转、改善了学校教学环境、提高了广大师生满意度，满意度100%。本年度整体支出绩效情况：自评优秀。</w:t>
      </w:r>
    </w:p>
    <w:p>
      <w:pPr>
        <w:spacing w:line="560" w:lineRule="auto"/>
        <w:ind w:firstLine="640"/>
        <w:rPr>
          <w:rFonts w:ascii="黑体" w:hAnsi="黑体" w:eastAsia="黑体" w:cs="黑体"/>
          <w:sz w:val="32"/>
        </w:rPr>
      </w:pPr>
      <w:r>
        <w:rPr>
          <w:rFonts w:ascii="黑体" w:hAnsi="黑体" w:eastAsia="黑体" w:cs="黑体"/>
          <w:sz w:val="32"/>
        </w:rPr>
        <w:t>四、存在的问题</w:t>
      </w:r>
    </w:p>
    <w:p>
      <w:pPr>
        <w:spacing w:line="560" w:lineRule="auto"/>
        <w:ind w:firstLine="640"/>
        <w:rPr>
          <w:rFonts w:ascii="仿宋_GB2312" w:hAnsi="仿宋_GB2312" w:eastAsia="仿宋_GB2312" w:cs="仿宋_GB2312"/>
          <w:sz w:val="32"/>
        </w:rPr>
      </w:pPr>
      <w:r>
        <w:rPr>
          <w:rFonts w:hint="eastAsia" w:ascii="仿宋_GB2312" w:hAnsi="仿宋_GB2312" w:eastAsia="仿宋_GB2312" w:cs="仿宋_GB2312"/>
          <w:sz w:val="32"/>
        </w:rPr>
        <w:t>资金支出力度有待加强。所拨资金不能按月及时支付，到年末资金支付压力较大。</w:t>
      </w:r>
    </w:p>
    <w:p>
      <w:pPr>
        <w:spacing w:line="560" w:lineRule="auto"/>
        <w:ind w:firstLine="640"/>
        <w:rPr>
          <w:rFonts w:ascii="黑体" w:hAnsi="黑体" w:eastAsia="黑体" w:cs="黑体"/>
          <w:sz w:val="32"/>
        </w:rPr>
      </w:pPr>
      <w:r>
        <w:rPr>
          <w:rFonts w:ascii="黑体" w:hAnsi="黑体" w:eastAsia="黑体" w:cs="黑体"/>
          <w:sz w:val="32"/>
        </w:rPr>
        <w:t>五、下一步改进工作的措施</w:t>
      </w:r>
    </w:p>
    <w:p>
      <w:pPr>
        <w:spacing w:line="560" w:lineRule="auto"/>
        <w:ind w:firstLine="640"/>
        <w:rPr>
          <w:rFonts w:ascii="仿宋_GB2312" w:hAnsi="仿宋_GB2312" w:eastAsia="仿宋_GB2312" w:cs="仿宋_GB2312"/>
          <w:sz w:val="32"/>
        </w:rPr>
      </w:pPr>
      <w:r>
        <w:rPr>
          <w:rFonts w:hint="eastAsia" w:ascii="仿宋_GB2312" w:hAnsi="仿宋_GB2312" w:eastAsia="仿宋_GB2312" w:cs="仿宋_GB2312"/>
          <w:sz w:val="32"/>
        </w:rPr>
        <w:t>1.进一步加快预算执行进度。改进预算安排，坚持按月形成支出，按期形成支出。</w:t>
      </w:r>
    </w:p>
    <w:p>
      <w:pPr>
        <w:spacing w:line="560" w:lineRule="auto"/>
        <w:ind w:firstLine="640"/>
        <w:rPr>
          <w:rFonts w:ascii="仿宋_GB2312" w:hAnsi="仿宋_GB2312" w:eastAsia="仿宋_GB2312" w:cs="仿宋_GB2312"/>
          <w:sz w:val="32"/>
        </w:rPr>
      </w:pPr>
      <w:r>
        <w:rPr>
          <w:rFonts w:hint="eastAsia" w:ascii="仿宋_GB2312" w:hAnsi="仿宋_GB2312" w:eastAsia="仿宋_GB2312" w:cs="仿宋_GB2312"/>
          <w:sz w:val="32"/>
        </w:rPr>
        <w:t>2.</w:t>
      </w:r>
      <w:r>
        <w:rPr>
          <w:rFonts w:ascii="仿宋_GB2312" w:hAnsi="仿宋_GB2312" w:eastAsia="仿宋_GB2312" w:cs="仿宋_GB2312"/>
          <w:sz w:val="32"/>
        </w:rPr>
        <w:t xml:space="preserve"> 执行过程中，做到严格控制支出，合理安排经费，做到细化支出，确保绩效执行和年初设定的绩效相一致。做好项目实施的跟踪检查工作，采取定期与不定期相结合的方式对项目实施情况和经费使用情况进行跟踪检查，对能实现预期绩效目标的项目予以充分肯定；对进展缓慢，预期绩效目标较差的项目，及时进行协调并提出整改措施，确保项目实施工作正常运行，达到预期绩效目标。</w:t>
      </w:r>
    </w:p>
    <w:p>
      <w:pPr>
        <w:spacing w:line="560" w:lineRule="auto"/>
        <w:ind w:firstLine="640"/>
        <w:rPr>
          <w:rFonts w:ascii="黑体" w:hAnsi="黑体" w:eastAsia="黑体" w:cs="黑体"/>
          <w:sz w:val="32"/>
        </w:rPr>
      </w:pPr>
      <w:r>
        <w:rPr>
          <w:rFonts w:ascii="黑体" w:hAnsi="黑体" w:eastAsia="黑体" w:cs="黑体"/>
          <w:sz w:val="32"/>
        </w:rPr>
        <w:t>六、意见建议</w:t>
      </w:r>
    </w:p>
    <w:p>
      <w:pPr>
        <w:spacing w:line="560" w:lineRule="auto"/>
        <w:ind w:firstLine="640"/>
        <w:rPr>
          <w:rFonts w:ascii="仿宋_GB2312" w:hAnsi="仿宋_GB2312" w:eastAsia="仿宋_GB2312" w:cs="仿宋_GB2312"/>
          <w:sz w:val="32"/>
        </w:rPr>
      </w:pPr>
      <w:r>
        <w:rPr>
          <w:rFonts w:hint="eastAsia" w:ascii="仿宋_GB2312" w:hAnsi="仿宋_GB2312" w:eastAsia="仿宋_GB2312" w:cs="仿宋_GB2312"/>
          <w:sz w:val="32"/>
        </w:rPr>
        <w:t>1.完善管理制度，进-步加强资产管理</w:t>
      </w:r>
    </w:p>
    <w:p>
      <w:pPr>
        <w:spacing w:line="560" w:lineRule="auto"/>
        <w:ind w:firstLine="640"/>
        <w:rPr>
          <w:rFonts w:ascii="仿宋_GB2312" w:hAnsi="仿宋_GB2312" w:eastAsia="仿宋_GB2312" w:cs="仿宋_GB2312"/>
          <w:sz w:val="32"/>
        </w:rPr>
      </w:pPr>
      <w:r>
        <w:rPr>
          <w:rFonts w:hint="eastAsia" w:ascii="仿宋_GB2312" w:hAnsi="仿宋_GB2312" w:eastAsia="仿宋_GB2312" w:cs="仿宋_GB2312"/>
          <w:sz w:val="32"/>
        </w:rPr>
        <w:t>严格按照《固定资产管理办法》的规定加强固定资产管理，及时登记、更新台账，加强资产卡片管理，年终前对各类实物资产进行全面盘点，确保账账、账实相符。</w:t>
      </w:r>
    </w:p>
    <w:p>
      <w:pPr>
        <w:spacing w:line="560" w:lineRule="auto"/>
        <w:ind w:firstLine="640"/>
        <w:rPr>
          <w:rFonts w:ascii="仿宋_GB2312" w:hAnsi="仿宋_GB2312" w:eastAsia="仿宋_GB2312" w:cs="仿宋_GB2312"/>
          <w:sz w:val="32"/>
        </w:rPr>
      </w:pPr>
      <w:r>
        <w:rPr>
          <w:rFonts w:hint="eastAsia" w:ascii="仿宋_GB2312" w:hAnsi="仿宋_GB2312" w:eastAsia="仿宋_GB2312" w:cs="仿宋_GB2312"/>
          <w:sz w:val="32"/>
        </w:rPr>
        <w:t>2.加强新行政单位会计制度和新预算法学习培训</w:t>
      </w:r>
    </w:p>
    <w:p>
      <w:pPr>
        <w:spacing w:line="560" w:lineRule="auto"/>
        <w:ind w:firstLine="640"/>
        <w:rPr>
          <w:rFonts w:ascii="仿宋_GB2312" w:hAnsi="仿宋_GB2312" w:eastAsia="仿宋_GB2312" w:cs="仿宋_GB2312"/>
          <w:sz w:val="32"/>
        </w:rPr>
      </w:pPr>
      <w:r>
        <w:rPr>
          <w:rFonts w:hint="eastAsia" w:ascii="仿宋_GB2312" w:hAnsi="仿宋_GB2312" w:eastAsia="仿宋_GB2312" w:cs="仿宋_GB2312"/>
          <w:sz w:val="32"/>
        </w:rPr>
        <w:t>加强新《预算法》、《行政单位会计制度》等学习培训，规范部门预算收支核算，一是制定和完善基本支出、项目支出等各项支出标准，严格按项目和进度执行预算，增强预算的约束力和严肃性。二是落实预算执行分析，及时了解预算执行差异，合理调整、纠正预算执行偏差，切实提高部门预算收支管理水平。</w:t>
      </w:r>
    </w:p>
    <w:p>
      <w:pPr>
        <w:spacing w:line="560" w:lineRule="auto"/>
        <w:ind w:firstLine="640"/>
        <w:rPr>
          <w:rFonts w:ascii="仿宋_GB2312" w:hAnsi="仿宋_GB2312" w:eastAsia="仿宋_GB2312" w:cs="仿宋_GB2312"/>
          <w:sz w:val="32"/>
        </w:rPr>
      </w:pPr>
    </w:p>
    <w:p>
      <w:pPr>
        <w:spacing w:line="560" w:lineRule="auto"/>
        <w:ind w:firstLine="640"/>
        <w:rPr>
          <w:rFonts w:ascii="仿宋_GB2312" w:hAnsi="仿宋_GB2312" w:eastAsia="仿宋_GB2312" w:cs="仿宋_GB2312"/>
          <w:sz w:val="32"/>
        </w:rPr>
      </w:pPr>
    </w:p>
    <w:p>
      <w:pPr>
        <w:spacing w:line="560" w:lineRule="auto"/>
        <w:ind w:firstLine="640"/>
        <w:rPr>
          <w:rFonts w:ascii="仿宋_GB2312" w:hAnsi="仿宋_GB2312" w:eastAsia="仿宋_GB2312" w:cs="仿宋_GB2312"/>
          <w:sz w:val="32"/>
        </w:rPr>
      </w:pPr>
    </w:p>
    <w:p>
      <w:pPr>
        <w:keepNext w:val="0"/>
        <w:keepLines w:val="0"/>
        <w:widowControl w:val="0"/>
        <w:suppressLineNumbers w:val="0"/>
        <w:spacing w:before="0" w:beforeAutospacing="0" w:after="0" w:afterAutospacing="0" w:line="559" w:lineRule="auto"/>
        <w:ind w:left="0" w:right="0" w:firstLine="5280" w:firstLineChars="1650"/>
        <w:jc w:val="both"/>
        <w:rPr>
          <w:rFonts w:hint="eastAsia" w:ascii="仿宋_GB2312" w:hAnsi="仿宋_GB2312" w:eastAsia="仿宋_GB2312" w:cs="仿宋_GB2312"/>
          <w:sz w:val="32"/>
          <w:szCs w:val="22"/>
          <w:lang w:val="en-US"/>
        </w:rPr>
      </w:pPr>
      <w:r>
        <w:rPr>
          <w:rFonts w:hint="default" w:ascii="仿宋_GB2312" w:hAnsi="仿宋_GB2312" w:eastAsia="仿宋_GB2312" w:cs="仿宋_GB2312"/>
          <w:kern w:val="2"/>
          <w:sz w:val="32"/>
          <w:szCs w:val="22"/>
          <w:lang w:eastAsia="zh-CN" w:bidi="ar"/>
        </w:rPr>
        <w:t xml:space="preserve"> </w:t>
      </w:r>
      <w:bookmarkStart w:id="0" w:name="_GoBack"/>
      <w:bookmarkEnd w:id="0"/>
      <w:r>
        <w:rPr>
          <w:rFonts w:hint="eastAsia" w:ascii="仿宋_GB2312" w:hAnsi="仿宋_GB2312" w:eastAsia="仿宋_GB2312" w:cs="仿宋_GB2312"/>
          <w:kern w:val="2"/>
          <w:sz w:val="32"/>
          <w:szCs w:val="22"/>
          <w:lang w:val="en-US" w:eastAsia="zh-CN" w:bidi="ar"/>
        </w:rPr>
        <w:t>山丹县霍城学区</w:t>
      </w:r>
    </w:p>
    <w:p>
      <w:pPr>
        <w:keepNext w:val="0"/>
        <w:keepLines w:val="0"/>
        <w:widowControl/>
        <w:suppressLineNumbers w:val="0"/>
        <w:jc w:val="left"/>
      </w:pPr>
      <w:r>
        <w:rPr>
          <w:rFonts w:hint="default" w:ascii="仿宋_GB2312" w:hAnsi="仿宋_GB2312" w:eastAsia="仿宋_GB2312" w:cs="仿宋_GB2312"/>
          <w:kern w:val="2"/>
          <w:sz w:val="32"/>
          <w:szCs w:val="22"/>
          <w:lang w:eastAsia="zh-CN" w:bidi="ar"/>
        </w:rPr>
        <w:t xml:space="preserve">                                  </w:t>
      </w:r>
      <w:r>
        <w:rPr>
          <w:rFonts w:hint="eastAsia" w:ascii="仿宋_GB2312" w:hAnsi="仿宋_GB2312" w:eastAsia="仿宋_GB2312" w:cs="仿宋_GB2312"/>
          <w:kern w:val="2"/>
          <w:sz w:val="32"/>
          <w:szCs w:val="22"/>
          <w:lang w:val="en-US" w:eastAsia="zh-CN" w:bidi="ar"/>
        </w:rPr>
        <w:t>2023年3月4日</w:t>
      </w:r>
      <w:r>
        <w:rPr>
          <w:rFonts w:hint="default" w:ascii="宋体" w:hAnsi="宋体" w:eastAsia="宋体" w:cs="宋体"/>
          <w:kern w:val="2"/>
          <w:sz w:val="24"/>
          <w:szCs w:val="24"/>
          <w:lang w:val="en-US" w:eastAsia="zh-CN" w:bidi="ar"/>
        </w:rPr>
        <w:t xml:space="preserve"> </w:t>
      </w:r>
    </w:p>
    <w:p>
      <w:pPr>
        <w:spacing w:line="560" w:lineRule="auto"/>
        <w:ind w:firstLine="640"/>
        <w:rPr>
          <w:rFonts w:ascii="仿宋_GB2312" w:hAnsi="仿宋_GB2312" w:eastAsia="仿宋_GB2312" w:cs="仿宋_GB2312"/>
          <w:sz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altName w:val="Kingsoft Confetti"/>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汉仪中黑KW"/>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altName w:val="Kingsoft Sign"/>
    <w:panose1 w:val="05050102010706020507"/>
    <w:charset w:val="02"/>
    <w:family w:val="roman"/>
    <w:pitch w:val="default"/>
    <w:sig w:usb0="00000000" w:usb1="00000000" w:usb2="00000000" w:usb3="00000000" w:csb0="80000000" w:csb1="00000000"/>
  </w:font>
  <w:font w:name="Calibri">
    <w:altName w:val="Arial"/>
    <w:panose1 w:val="020F0502020204030204"/>
    <w:charset w:val="00"/>
    <w:family w:val="swiss"/>
    <w:pitch w:val="default"/>
    <w:sig w:usb0="00000000" w:usb1="00000000" w:usb2="00000001" w:usb3="00000000" w:csb0="0000019F" w:csb1="00000000"/>
  </w:font>
  <w:font w:name="Arial">
    <w:panose1 w:val="020B0604020202020204"/>
    <w:charset w:val="00"/>
    <w:family w:val="auto"/>
    <w:pitch w:val="default"/>
    <w:sig w:usb0="E0002AFF" w:usb1="C0007843" w:usb2="00000009" w:usb3="00000000" w:csb0="400001FF" w:csb1="FFFF0000"/>
  </w:font>
  <w:font w:name="汉仪书宋二KW">
    <w:panose1 w:val="00020600040101010101"/>
    <w:charset w:val="86"/>
    <w:family w:val="auto"/>
    <w:pitch w:val="default"/>
    <w:sig w:usb0="A00002BF" w:usb1="18EF7CFA" w:usb2="00000016" w:usb3="00000000" w:csb0="00040000" w:csb1="00000000"/>
  </w:font>
  <w:font w:name="Kingsoft Confetti">
    <w:panose1 w:val="05000100010000000000"/>
    <w:charset w:val="00"/>
    <w:family w:val="auto"/>
    <w:pitch w:val="default"/>
    <w:sig w:usb0="00000000" w:usb1="00000000" w:usb2="00000000" w:usb3="00000000" w:csb0="8000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00000000" w:usb2="00000000" w:usb3="00000000" w:csb0="80000000" w:csb1="00000000"/>
  </w:font>
  <w:font w:name="仿宋_GB2312">
    <w:altName w:val="汉仪仿宋KW"/>
    <w:panose1 w:val="02010609030101010101"/>
    <w:charset w:val="86"/>
    <w:family w:val="modern"/>
    <w:pitch w:val="default"/>
    <w:sig w:usb0="00000000" w:usb1="00000000" w:usb2="00000010" w:usb3="00000000" w:csb0="00040000" w:csb1="00000000"/>
  </w:font>
  <w:font w:name="汉仪仿宋KW">
    <w:panose1 w:val="00020600040101010101"/>
    <w:charset w:val="86"/>
    <w:family w:val="auto"/>
    <w:pitch w:val="default"/>
    <w:sig w:usb0="A00002BF" w:usb1="18EF7CFA" w:usb2="00000016" w:usb3="00000000" w:csb0="00040000" w:csb1="00000000"/>
  </w:font>
  <w:font w:name="方正小标宋简体">
    <w:altName w:val="汉仪书宋二KW"/>
    <w:panose1 w:val="00000000000000000000"/>
    <w:charset w:val="86"/>
    <w:family w:val="roman"/>
    <w:pitch w:val="default"/>
    <w:sig w:usb0="00000000" w:usb1="00000000" w:usb2="00000000" w:usb3="00000000" w:csb0="00000000" w:csb1="00000000"/>
  </w:font>
  <w:font w:name="楷体_GB2312">
    <w:altName w:val="汉仪楷体KW"/>
    <w:panose1 w:val="00000000000000000000"/>
    <w:charset w:val="86"/>
    <w:family w:val="roman"/>
    <w:pitch w:val="default"/>
    <w:sig w:usb0="00000000" w:usb1="00000000" w:usb2="00000000" w:usb3="00000000" w:csb0="00000000" w:csb1="00000000"/>
  </w:font>
  <w:font w:name="汉仪楷体KW">
    <w:panose1 w:val="00020600040101010101"/>
    <w:charset w:val="86"/>
    <w:family w:val="auto"/>
    <w:pitch w:val="default"/>
    <w:sig w:usb0="A00002BF" w:usb1="18EF7CFA" w:usb2="00000016" w:usb3="00000000" w:csb0="00040000" w:csb1="00000000"/>
  </w:font>
  <w:font w:name="仿宋">
    <w:altName w:val="汉仪仿宋KW"/>
    <w:panose1 w:val="02010609060101010101"/>
    <w:charset w:val="86"/>
    <w:family w:val="modern"/>
    <w:pitch w:val="default"/>
    <w:sig w:usb0="00000000" w:usb1="00000000" w:usb2="00000016" w:usb3="00000000" w:csb0="00040001" w:csb1="00000000"/>
  </w:font>
  <w:font w:name="@宋体">
    <w:altName w:val="汉仪书宋二KW"/>
    <w:panose1 w:val="02010600030101010101"/>
    <w:charset w:val="86"/>
    <w:family w:val="auto"/>
    <w:pitch w:val="variable"/>
    <w:sig w:usb0="00000003" w:usb1="288F0000" w:usb2="00000016" w:usb3="00000000" w:csb0="00040001" w:csb1="00000000"/>
  </w:font>
  <w:font w:name="@仿宋_GB2312">
    <w:altName w:val="汉仪仿宋KW"/>
    <w:panose1 w:val="02010609030101010101"/>
    <w:charset w:val="86"/>
    <w:family w:val="auto"/>
    <w:pitch w:val="fixed"/>
    <w:sig w:usb0="00000001" w:usb1="080E0000" w:usb2="0000001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isplayHorizontalDrawingGridEvery w:val="0"/>
  <w:displayVerticalDrawingGridEvery w:val="2"/>
  <w:characterSpacingControl w:val="doNotCompress"/>
  <w:compat>
    <w:balanceSingleByteDoubleByteWidth/>
    <w:doNotExpandShiftReturn/>
    <w:adjustLineHeightInTable/>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6617"/>
    <w:rsid w:val="001D7AC5"/>
    <w:rsid w:val="00236617"/>
    <w:rsid w:val="0027776E"/>
    <w:rsid w:val="002F6279"/>
    <w:rsid w:val="004B1EB6"/>
    <w:rsid w:val="007104D6"/>
    <w:rsid w:val="007419FF"/>
    <w:rsid w:val="00814679"/>
    <w:rsid w:val="008224A2"/>
    <w:rsid w:val="00B545FF"/>
    <w:rsid w:val="00B902C5"/>
    <w:rsid w:val="4EF3427E"/>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nhideWhenUsed/>
    <w:uiPriority w:val="1"/>
  </w:style>
  <w:style w:type="table" w:default="1" w:styleId="2">
    <w:name w:val="Normal Table"/>
    <w:semiHidden/>
    <w:unhideWhenUsed/>
    <w:uiPriority w:val="99"/>
    <w:pPr>
      <w:keepNext w:val="0"/>
      <w:keepLines w:val="0"/>
      <w:widowControl/>
      <w:suppressLineNumbers w:val="0"/>
      <w:spacing w:before="0" w:beforeAutospacing="0" w:after="0" w:afterAutospacing="0"/>
      <w:ind w:left="0" w:right="0"/>
    </w:pPr>
    <w:rPr>
      <w:rFonts w:hint="default" w:ascii="Calibri" w:hAnsi="Calibri" w:cs="Calibri"/>
      <w:kern w:val="2"/>
      <w:sz w:val="21"/>
      <w:szCs w:val="22"/>
    </w:rPr>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Company>Microsoft</Company>
  <Pages>1</Pages>
  <Words>386</Words>
  <Characters>2205</Characters>
  <Lines>18</Lines>
  <Paragraphs>5</Paragraphs>
  <TotalTime>52</TotalTime>
  <ScaleCrop>false</ScaleCrop>
  <LinksUpToDate>false</LinksUpToDate>
  <CharactersWithSpaces>2586</CharactersWithSpaces>
  <Application>WPS Office WWO_base_provider_20221031101348-1857be321c</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2023-06-07T11:22:00Z</dcterms:created>
  <dc:creator>lenovo</dc:creator>
  <cp:lastModifiedBy>lenovo</cp:lastModifiedBy>
  <dcterms:modified xsi:type="dcterms:W3CDTF">2023-06-08T12:01:44Z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2052-0.0.0.0</vt:lpwstr>
  </property>
</Properties>
</file>