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附件6</w:t>
      </w:r>
    </w:p>
    <w:p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部门整体支出绩效自评报告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一、部门概况</w:t>
      </w:r>
    </w:p>
    <w:p>
      <w:pPr>
        <w:spacing w:line="560" w:lineRule="exact"/>
        <w:ind w:firstLine="643" w:firstLineChars="200"/>
        <w:rPr>
          <w:rFonts w:hint="eastAsia"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（一）基本情况</w:t>
      </w:r>
    </w:p>
    <w:p>
      <w:pPr>
        <w:widowControl/>
        <w:numPr>
          <w:ilvl w:val="0"/>
          <w:numId w:val="0"/>
        </w:numPr>
        <w:spacing w:before="150" w:after="150" w:line="576" w:lineRule="exact"/>
        <w:ind w:firstLine="600" w:firstLineChars="200"/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val="en-US" w:eastAsia="zh-CN"/>
        </w:rPr>
      </w:pP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val="en-US" w:eastAsia="zh-CN"/>
        </w:rPr>
        <w:t>1.单位基本情况</w:t>
      </w:r>
    </w:p>
    <w:p>
      <w:pPr>
        <w:widowControl/>
        <w:numPr>
          <w:ilvl w:val="0"/>
          <w:numId w:val="0"/>
        </w:numPr>
        <w:spacing w:before="150" w:after="150" w:line="576" w:lineRule="exact"/>
        <w:ind w:firstLine="600" w:firstLineChars="200"/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val="en-US" w:eastAsia="zh-CN"/>
        </w:rPr>
      </w:pP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val="en-US" w:eastAsia="zh-CN"/>
        </w:rPr>
        <w:t>山丹育才中学现有事业编制168名，特岗教师19名，退休人员5人，遗属人员3人。</w:t>
      </w:r>
      <w:r>
        <w:rPr>
          <w:rFonts w:ascii="仿宋_GB2312" w:hAnsi="黑体" w:eastAsia="仿宋_GB2312"/>
          <w:bCs/>
          <w:color w:val="000000" w:themeColor="text1"/>
          <w:sz w:val="30"/>
          <w:szCs w:val="30"/>
        </w:rPr>
        <w:t>共设置内设机构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val="en-US" w:eastAsia="zh-CN"/>
        </w:rPr>
        <w:t>4</w:t>
      </w:r>
      <w:r>
        <w:rPr>
          <w:rFonts w:ascii="仿宋_GB2312" w:hAnsi="黑体" w:eastAsia="仿宋_GB2312"/>
          <w:bCs/>
          <w:color w:val="000000" w:themeColor="text1"/>
          <w:sz w:val="30"/>
          <w:szCs w:val="30"/>
        </w:rPr>
        <w:t>个，分别是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</w:rPr>
        <w:t>办公室、教导处、政教处、总务处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eastAsia="zh-CN"/>
        </w:rPr>
        <w:t>。上级主管部门是山丹县教育局。执行政府会计制度。</w:t>
      </w:r>
    </w:p>
    <w:p>
      <w:pPr>
        <w:widowControl/>
        <w:numPr>
          <w:ilvl w:val="0"/>
          <w:numId w:val="0"/>
        </w:numPr>
        <w:spacing w:before="150" w:after="150" w:line="576" w:lineRule="exact"/>
        <w:ind w:firstLine="600" w:firstLineChars="200"/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val="en-US" w:eastAsia="zh-CN"/>
        </w:rPr>
      </w:pP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val="en-US" w:eastAsia="zh-CN"/>
        </w:rPr>
        <w:t>2.单位职能职责</w:t>
      </w:r>
    </w:p>
    <w:p>
      <w:pPr>
        <w:widowControl/>
        <w:numPr>
          <w:ilvl w:val="0"/>
          <w:numId w:val="0"/>
        </w:numPr>
        <w:spacing w:before="150" w:after="150" w:line="576" w:lineRule="exact"/>
        <w:ind w:firstLine="600" w:firstLineChars="200"/>
        <w:rPr>
          <w:rFonts w:hint="eastAsia" w:ascii="仿宋" w:hAnsi="仿宋" w:eastAsia="仿宋"/>
          <w:bCs/>
          <w:color w:val="000000" w:themeColor="text1"/>
          <w:sz w:val="30"/>
          <w:szCs w:val="30"/>
        </w:rPr>
      </w:pPr>
      <w:r>
        <w:rPr>
          <w:rFonts w:hint="eastAsia" w:ascii="仿宋" w:hAnsi="仿宋" w:eastAsia="仿宋"/>
          <w:bCs/>
          <w:color w:val="000000" w:themeColor="text1"/>
          <w:sz w:val="30"/>
          <w:szCs w:val="30"/>
        </w:rPr>
        <w:t>实施初中义务教育，促进基础教育发展；初中学历教育及相关社会服务。</w:t>
      </w:r>
    </w:p>
    <w:p>
      <w:pPr>
        <w:widowControl/>
        <w:numPr>
          <w:ilvl w:val="0"/>
          <w:numId w:val="1"/>
        </w:numPr>
        <w:spacing w:before="150" w:after="150" w:line="576" w:lineRule="exact"/>
        <w:ind w:firstLine="643" w:firstLineChars="200"/>
        <w:rPr>
          <w:rFonts w:hint="eastAsia"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年度重点工作</w:t>
      </w:r>
    </w:p>
    <w:p>
      <w:pPr>
        <w:widowControl/>
        <w:numPr>
          <w:ilvl w:val="0"/>
          <w:numId w:val="0"/>
        </w:numPr>
        <w:spacing w:before="150" w:after="150" w:line="576" w:lineRule="exact"/>
        <w:ind w:left="641" w:leftChars="0"/>
        <w:rPr>
          <w:rFonts w:hint="eastAsia" w:ascii="仿宋" w:hAnsi="仿宋" w:eastAsia="仿宋"/>
          <w:bCs/>
          <w:color w:val="000000" w:themeColor="text1"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color w:val="000000" w:themeColor="text1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/>
          <w:bCs/>
          <w:color w:val="000000" w:themeColor="text1"/>
          <w:sz w:val="30"/>
          <w:szCs w:val="30"/>
          <w:lang w:eastAsia="zh-CN"/>
        </w:rPr>
        <w:t>聚焦党建引领，促进学校各项工作提质增效；</w:t>
      </w:r>
    </w:p>
    <w:p>
      <w:pPr>
        <w:widowControl/>
        <w:numPr>
          <w:ilvl w:val="0"/>
          <w:numId w:val="0"/>
        </w:numPr>
        <w:spacing w:before="150" w:after="150" w:line="576" w:lineRule="exact"/>
        <w:ind w:left="641" w:leftChars="0"/>
        <w:rPr>
          <w:rFonts w:hint="eastAsia" w:ascii="仿宋" w:hAnsi="仿宋" w:eastAsia="仿宋"/>
          <w:bCs/>
          <w:color w:val="000000" w:themeColor="text1"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color w:val="000000" w:themeColor="text1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/>
          <w:bCs/>
          <w:color w:val="000000" w:themeColor="text1"/>
          <w:sz w:val="30"/>
          <w:szCs w:val="30"/>
          <w:lang w:eastAsia="zh-CN"/>
        </w:rPr>
        <w:t>坚持以人为本，实现学校发展环境和谐稳定；</w:t>
      </w:r>
    </w:p>
    <w:p>
      <w:pPr>
        <w:widowControl/>
        <w:numPr>
          <w:ilvl w:val="0"/>
          <w:numId w:val="0"/>
        </w:numPr>
        <w:spacing w:before="150" w:after="150" w:line="576" w:lineRule="exact"/>
        <w:ind w:left="641" w:leftChars="0"/>
        <w:rPr>
          <w:rFonts w:hint="eastAsia" w:ascii="仿宋" w:hAnsi="仿宋" w:eastAsia="仿宋"/>
          <w:bCs/>
          <w:color w:val="000000" w:themeColor="text1"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color w:val="000000" w:themeColor="text1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/>
          <w:bCs/>
          <w:color w:val="000000" w:themeColor="text1"/>
          <w:sz w:val="30"/>
          <w:szCs w:val="30"/>
          <w:lang w:eastAsia="zh-CN"/>
        </w:rPr>
        <w:t>深化教研改革，引领学校办学质量全面提升；</w:t>
      </w:r>
    </w:p>
    <w:p>
      <w:pPr>
        <w:widowControl/>
        <w:numPr>
          <w:ilvl w:val="0"/>
          <w:numId w:val="0"/>
        </w:numPr>
        <w:spacing w:before="150" w:after="150" w:line="576" w:lineRule="exact"/>
        <w:ind w:left="641" w:leftChars="0"/>
        <w:rPr>
          <w:rFonts w:hint="eastAsia" w:ascii="仿宋" w:hAnsi="仿宋" w:eastAsia="仿宋"/>
          <w:bCs/>
          <w:color w:val="000000" w:themeColor="text1"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color w:val="000000" w:themeColor="text1"/>
          <w:sz w:val="30"/>
          <w:szCs w:val="30"/>
          <w:lang w:val="en-US" w:eastAsia="zh-CN"/>
        </w:rPr>
        <w:t>4.</w:t>
      </w:r>
      <w:r>
        <w:rPr>
          <w:rFonts w:hint="eastAsia" w:ascii="仿宋" w:hAnsi="仿宋" w:eastAsia="仿宋"/>
          <w:bCs/>
          <w:color w:val="000000" w:themeColor="text1"/>
          <w:sz w:val="30"/>
          <w:szCs w:val="30"/>
          <w:lang w:eastAsia="zh-CN"/>
        </w:rPr>
        <w:t>落实立德树人，用社会主义核心价值观铸魂育人；</w:t>
      </w:r>
    </w:p>
    <w:p>
      <w:pPr>
        <w:widowControl/>
        <w:numPr>
          <w:ilvl w:val="0"/>
          <w:numId w:val="0"/>
        </w:numPr>
        <w:spacing w:before="150" w:after="150" w:line="576" w:lineRule="exact"/>
        <w:ind w:left="641" w:leftChars="0"/>
        <w:rPr>
          <w:rFonts w:hint="eastAsia" w:ascii="仿宋" w:hAnsi="仿宋" w:eastAsia="仿宋"/>
          <w:bCs/>
          <w:color w:val="000000" w:themeColor="text1"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color w:val="000000" w:themeColor="text1"/>
          <w:sz w:val="30"/>
          <w:szCs w:val="30"/>
          <w:lang w:val="en-US" w:eastAsia="zh-CN"/>
        </w:rPr>
        <w:t>5.</w:t>
      </w:r>
      <w:r>
        <w:rPr>
          <w:rFonts w:hint="eastAsia" w:ascii="仿宋" w:hAnsi="仿宋" w:eastAsia="仿宋"/>
          <w:bCs/>
          <w:color w:val="000000" w:themeColor="text1"/>
          <w:sz w:val="30"/>
          <w:szCs w:val="30"/>
          <w:lang w:eastAsia="zh-CN"/>
        </w:rPr>
        <w:t>服务中心工作，为学校良好运行保驾护航；</w:t>
      </w:r>
    </w:p>
    <w:p>
      <w:pPr>
        <w:widowControl/>
        <w:numPr>
          <w:ilvl w:val="0"/>
          <w:numId w:val="0"/>
        </w:numPr>
        <w:spacing w:before="150" w:after="150" w:line="576" w:lineRule="exact"/>
        <w:ind w:left="641" w:leftChars="0"/>
        <w:rPr>
          <w:rFonts w:hint="default" w:ascii="仿宋" w:hAnsi="仿宋" w:eastAsia="仿宋"/>
          <w:bCs/>
          <w:color w:val="000000" w:themeColor="text1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color w:val="000000" w:themeColor="text1"/>
          <w:sz w:val="30"/>
          <w:szCs w:val="30"/>
          <w:lang w:val="en-US" w:eastAsia="zh-CN"/>
        </w:rPr>
        <w:t>6.</w:t>
      </w:r>
      <w:r>
        <w:rPr>
          <w:rFonts w:hint="eastAsia" w:ascii="仿宋" w:hAnsi="仿宋" w:eastAsia="仿宋"/>
          <w:bCs/>
          <w:color w:val="000000" w:themeColor="text1"/>
          <w:sz w:val="30"/>
          <w:szCs w:val="30"/>
          <w:lang w:eastAsia="zh-CN"/>
        </w:rPr>
        <w:t>落实党风廉政建设责任制，切实加强廉洁自律。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（三）整体收支情况</w:t>
      </w:r>
    </w:p>
    <w:p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1.收入决算情况：</w:t>
      </w:r>
    </w:p>
    <w:p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/>
          <w:sz w:val="30"/>
          <w:szCs w:val="30"/>
        </w:rPr>
        <w:t>年，</w:t>
      </w:r>
      <w:r>
        <w:rPr>
          <w:rFonts w:hint="eastAsia" w:ascii="仿宋_GB2312" w:eastAsia="仿宋_GB2312"/>
          <w:sz w:val="30"/>
          <w:szCs w:val="30"/>
          <w:lang w:eastAsia="zh-CN"/>
        </w:rPr>
        <w:t>山丹育才中学</w:t>
      </w:r>
      <w:r>
        <w:rPr>
          <w:rFonts w:hint="eastAsia" w:ascii="仿宋_GB2312" w:eastAsia="仿宋_GB2312"/>
          <w:sz w:val="30"/>
          <w:szCs w:val="30"/>
        </w:rPr>
        <w:t>收入决算共计3483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.</w:t>
      </w:r>
      <w:r>
        <w:rPr>
          <w:rFonts w:hint="eastAsia" w:ascii="仿宋_GB2312" w:eastAsia="仿宋_GB2312"/>
          <w:sz w:val="30"/>
          <w:szCs w:val="30"/>
        </w:rPr>
        <w:t>364045万元，年初结转和结余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0</w:t>
      </w:r>
      <w:r>
        <w:rPr>
          <w:rFonts w:hint="eastAsia" w:ascii="仿宋_GB2312" w:eastAsia="仿宋_GB2312"/>
          <w:sz w:val="30"/>
          <w:szCs w:val="30"/>
        </w:rPr>
        <w:t>万元；本年支出共计3483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.</w:t>
      </w:r>
      <w:r>
        <w:rPr>
          <w:rFonts w:hint="eastAsia" w:ascii="仿宋_GB2312" w:eastAsia="仿宋_GB2312"/>
          <w:sz w:val="30"/>
          <w:szCs w:val="30"/>
        </w:rPr>
        <w:t>364045万元，年末结转和结余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0</w:t>
      </w:r>
      <w:r>
        <w:rPr>
          <w:rFonts w:hint="eastAsia" w:ascii="仿宋_GB2312" w:eastAsia="仿宋_GB2312"/>
          <w:sz w:val="30"/>
          <w:szCs w:val="30"/>
        </w:rPr>
        <w:t>万元。</w:t>
      </w:r>
      <w:r>
        <w:rPr>
          <w:rFonts w:hint="eastAsia" w:ascii="仿宋_GB2312" w:eastAsia="仿宋_GB2312"/>
          <w:sz w:val="30"/>
          <w:szCs w:val="30"/>
          <w:lang w:eastAsia="zh-CN"/>
        </w:rPr>
        <w:t>收均为财政拨款收入。</w:t>
      </w:r>
    </w:p>
    <w:p>
      <w:pPr>
        <w:numPr>
          <w:ilvl w:val="0"/>
          <w:numId w:val="0"/>
        </w:numPr>
        <w:spacing w:line="560" w:lineRule="exact"/>
        <w:ind w:leftChars="200" w:firstLine="300" w:firstLineChars="1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2.</w:t>
      </w:r>
      <w:r>
        <w:rPr>
          <w:rFonts w:hint="eastAsia" w:ascii="仿宋_GB2312" w:eastAsia="仿宋_GB2312"/>
          <w:sz w:val="30"/>
          <w:szCs w:val="30"/>
        </w:rPr>
        <w:t>支出决算情况</w:t>
      </w:r>
    </w:p>
    <w:p>
      <w:pPr>
        <w:spacing w:line="576" w:lineRule="exact"/>
        <w:ind w:firstLine="600" w:firstLineChars="200"/>
        <w:jc w:val="left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/>
          <w:sz w:val="30"/>
          <w:szCs w:val="30"/>
        </w:rPr>
        <w:t>年，</w:t>
      </w:r>
      <w:r>
        <w:rPr>
          <w:rFonts w:hint="eastAsia" w:ascii="仿宋_GB2312" w:eastAsia="仿宋_GB2312"/>
          <w:sz w:val="30"/>
          <w:szCs w:val="30"/>
          <w:lang w:eastAsia="zh-CN"/>
        </w:rPr>
        <w:t>山丹育才中学支出</w:t>
      </w:r>
      <w:r>
        <w:rPr>
          <w:rFonts w:hint="eastAsia" w:ascii="仿宋_GB2312" w:eastAsia="仿宋_GB2312"/>
          <w:sz w:val="30"/>
          <w:szCs w:val="30"/>
        </w:rPr>
        <w:t>决算共计3483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.</w:t>
      </w:r>
      <w:r>
        <w:rPr>
          <w:rFonts w:hint="eastAsia" w:ascii="仿宋_GB2312" w:eastAsia="仿宋_GB2312"/>
          <w:sz w:val="30"/>
          <w:szCs w:val="30"/>
        </w:rPr>
        <w:t>364045万元</w:t>
      </w:r>
      <w:r>
        <w:rPr>
          <w:rFonts w:hint="eastAsia" w:ascii="仿宋_GB2312" w:eastAsia="仿宋_GB2312"/>
          <w:sz w:val="30"/>
          <w:szCs w:val="30"/>
          <w:lang w:eastAsia="zh-CN"/>
        </w:rPr>
        <w:t>，主要是：</w:t>
      </w:r>
    </w:p>
    <w:p>
      <w:pPr>
        <w:spacing w:line="576" w:lineRule="exact"/>
        <w:ind w:firstLine="600" w:firstLineChars="200"/>
        <w:jc w:val="left"/>
        <w:rPr>
          <w:rFonts w:hint="eastAsia" w:ascii="仿宋_GB2312" w:hAnsi="黑体" w:eastAsia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</w:rPr>
        <w:t>1.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eastAsia="zh-CN"/>
        </w:rPr>
        <w:t>教育支出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val="en-US" w:eastAsia="zh-CN"/>
        </w:rPr>
        <w:t>2950.932157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</w:rPr>
        <w:t>万元。</w:t>
      </w:r>
    </w:p>
    <w:p>
      <w:pPr>
        <w:spacing w:line="576" w:lineRule="exact"/>
        <w:ind w:firstLine="600" w:firstLineChars="200"/>
        <w:jc w:val="left"/>
        <w:rPr>
          <w:rFonts w:hint="eastAsia" w:ascii="仿宋_GB2312" w:hAnsi="黑体" w:eastAsia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val="en-US" w:eastAsia="zh-CN"/>
        </w:rPr>
        <w:t>2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</w:rPr>
        <w:t>.社会保障和就业支出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val="en-US" w:eastAsia="zh-CN"/>
        </w:rPr>
        <w:t>243.77011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</w:rPr>
        <w:t>万元。</w:t>
      </w:r>
    </w:p>
    <w:p>
      <w:pPr>
        <w:spacing w:line="576" w:lineRule="exact"/>
        <w:ind w:firstLine="600" w:firstLineChars="200"/>
        <w:jc w:val="left"/>
        <w:rPr>
          <w:rFonts w:hint="eastAsia" w:ascii="仿宋_GB2312" w:hAnsi="黑体" w:eastAsia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val="en-US" w:eastAsia="zh-CN"/>
        </w:rPr>
        <w:t>3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</w:rPr>
        <w:t>.卫生健康支出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val="en-US" w:eastAsia="zh-CN"/>
        </w:rPr>
        <w:t>120.324678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</w:rPr>
        <w:t>万元。</w:t>
      </w:r>
    </w:p>
    <w:p>
      <w:pPr>
        <w:spacing w:line="576" w:lineRule="exact"/>
        <w:ind w:firstLine="600" w:firstLineChars="200"/>
        <w:jc w:val="left"/>
        <w:rPr>
          <w:rFonts w:hint="eastAsia" w:ascii="仿宋_GB2312" w:hAnsi="黑体" w:eastAsia="仿宋_GB2312"/>
          <w:bCs/>
          <w:color w:val="000000" w:themeColor="text1"/>
          <w:sz w:val="30"/>
          <w:szCs w:val="30"/>
        </w:rPr>
      </w:pP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val="en-US" w:eastAsia="zh-CN"/>
        </w:rPr>
        <w:t>4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</w:rPr>
        <w:t>.住房保障支出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  <w:lang w:val="en-US" w:eastAsia="zh-CN"/>
        </w:rPr>
        <w:t>168.3371</w:t>
      </w:r>
      <w:r>
        <w:rPr>
          <w:rFonts w:hint="eastAsia" w:ascii="仿宋_GB2312" w:hAnsi="黑体" w:eastAsia="仿宋_GB2312"/>
          <w:bCs/>
          <w:color w:val="000000" w:themeColor="text1"/>
          <w:sz w:val="30"/>
          <w:szCs w:val="30"/>
        </w:rPr>
        <w:t>万元。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二、整体支出管理及使用情况</w:t>
      </w:r>
    </w:p>
    <w:p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（一）基本支出</w:t>
      </w:r>
    </w:p>
    <w:p>
      <w:pPr>
        <w:pStyle w:val="2"/>
        <w:spacing w:line="240" w:lineRule="auto"/>
        <w:ind w:left="0" w:leftChars="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基本支出</w:t>
      </w:r>
      <w:r>
        <w:rPr>
          <w:rFonts w:hint="eastAsia" w:ascii="仿宋_GB2312" w:eastAsia="仿宋_GB2312"/>
          <w:sz w:val="30"/>
          <w:szCs w:val="30"/>
        </w:rPr>
        <w:t>3483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.</w:t>
      </w:r>
      <w:r>
        <w:rPr>
          <w:rFonts w:hint="eastAsia" w:ascii="仿宋_GB2312" w:eastAsia="仿宋_GB2312"/>
          <w:sz w:val="30"/>
          <w:szCs w:val="30"/>
        </w:rPr>
        <w:t>364045</w:t>
      </w:r>
      <w:r>
        <w:rPr>
          <w:rFonts w:hint="eastAsia" w:ascii="仿宋_GB2312" w:eastAsia="仿宋_GB2312"/>
          <w:sz w:val="30"/>
          <w:szCs w:val="30"/>
          <w:lang w:eastAsia="zh-CN"/>
        </w:rPr>
        <w:t>万元，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为公用经费和人员支出，其中，公用经费318.982416万元，主要用于学校运行的各项开支；人员支出3164.381629万元，主要用于教职工的工资及“五险一金”支出。</w:t>
      </w:r>
    </w:p>
    <w:p>
      <w:pPr>
        <w:numPr>
          <w:ilvl w:val="0"/>
          <w:numId w:val="0"/>
        </w:numPr>
        <w:spacing w:line="24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（二）</w:t>
      </w:r>
      <w:r>
        <w:rPr>
          <w:rFonts w:hint="eastAsia" w:ascii="仿宋_GB2312" w:eastAsia="仿宋_GB2312"/>
          <w:sz w:val="30"/>
          <w:szCs w:val="30"/>
        </w:rPr>
        <w:t>项目支出</w:t>
      </w:r>
    </w:p>
    <w:p>
      <w:pPr>
        <w:pStyle w:val="2"/>
        <w:numPr>
          <w:ilvl w:val="0"/>
          <w:numId w:val="0"/>
        </w:numPr>
        <w:spacing w:line="240" w:lineRule="auto"/>
        <w:ind w:left="0" w:leftChars="0"/>
        <w:rPr>
          <w:rFonts w:hint="default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 xml:space="preserve">  山丹育才中学2022年无项目支出。</w:t>
      </w:r>
    </w:p>
    <w:p>
      <w:pPr>
        <w:numPr>
          <w:ilvl w:val="0"/>
          <w:numId w:val="0"/>
        </w:numPr>
        <w:spacing w:line="240" w:lineRule="auto"/>
        <w:ind w:left="0" w:leftChars="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（三）</w:t>
      </w:r>
      <w:r>
        <w:rPr>
          <w:rFonts w:hint="eastAsia" w:ascii="仿宋_GB2312" w:eastAsia="仿宋_GB2312"/>
          <w:sz w:val="30"/>
          <w:szCs w:val="30"/>
        </w:rPr>
        <w:t>“三公”经费决算说明</w:t>
      </w:r>
    </w:p>
    <w:p>
      <w:pPr>
        <w:pStyle w:val="2"/>
        <w:numPr>
          <w:ilvl w:val="0"/>
          <w:numId w:val="0"/>
        </w:numPr>
        <w:spacing w:line="240" w:lineRule="auto"/>
        <w:ind w:left="0" w:leftChars="0"/>
        <w:rPr>
          <w:rFonts w:hint="default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 xml:space="preserve"> 山丹育才中学2022年无“三公”经费支出。</w:t>
      </w:r>
    </w:p>
    <w:p>
      <w:pPr>
        <w:numPr>
          <w:ilvl w:val="0"/>
          <w:numId w:val="0"/>
        </w:numPr>
        <w:spacing w:line="240" w:lineRule="auto"/>
        <w:ind w:left="0" w:leftChars="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（四）</w:t>
      </w:r>
      <w:r>
        <w:rPr>
          <w:rFonts w:hint="eastAsia" w:ascii="仿宋_GB2312" w:eastAsia="仿宋_GB2312"/>
          <w:sz w:val="30"/>
          <w:szCs w:val="30"/>
        </w:rPr>
        <w:t>支出管理情况</w:t>
      </w:r>
    </w:p>
    <w:p>
      <w:pPr>
        <w:pStyle w:val="2"/>
        <w:numPr>
          <w:ilvl w:val="0"/>
          <w:numId w:val="0"/>
        </w:numPr>
        <w:spacing w:line="240" w:lineRule="auto"/>
        <w:ind w:left="0" w:leftChars="0" w:firstLine="600" w:firstLineChars="200"/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>学校支出严格按照审批制度，购买执行先审批后办理的制度，报销环节要求各部门分管领导签字核准，各项支出要据实列支。严格执行政府采购制度，重大事项须通过学校党组会通过，坚持做到量入为出，以收定支。</w:t>
      </w:r>
    </w:p>
    <w:p>
      <w:pPr>
        <w:pStyle w:val="2"/>
        <w:numPr>
          <w:ilvl w:val="0"/>
          <w:numId w:val="0"/>
        </w:numPr>
        <w:spacing w:line="240" w:lineRule="auto"/>
        <w:ind w:left="0" w:leftChars="0"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（五）</w:t>
      </w:r>
      <w:r>
        <w:rPr>
          <w:rFonts w:hint="eastAsia" w:ascii="仿宋_GB2312" w:eastAsia="仿宋_GB2312"/>
          <w:sz w:val="30"/>
          <w:szCs w:val="30"/>
        </w:rPr>
        <w:t>资产管理情况</w:t>
      </w:r>
    </w:p>
    <w:p>
      <w:pPr>
        <w:pStyle w:val="2"/>
        <w:numPr>
          <w:ilvl w:val="0"/>
          <w:numId w:val="0"/>
        </w:numPr>
        <w:spacing w:line="240" w:lineRule="auto"/>
        <w:rPr>
          <w:rFonts w:hint="default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>学校设立了专门的固定资产管理人员，建立健</w:t>
      </w:r>
      <w:bookmarkStart w:id="0" w:name="_GoBack"/>
      <w:bookmarkEnd w:id="0"/>
      <w:r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>全资产的购置、验收、保管等制度，建立学校固定资产管理台账，定期组织资产清查并及时和会计对账，报废及损毁的固定资产及时上报，严格管理资产，不存在学校固定资产对外出租出借情况，安全防护措施较好，做好了防火、防盗、防爆、防潮、防尘、防锈、防蛀等工作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三、整体支出绩效情况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2022年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我校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坚持以习近平新时代中国特色社会主义思想为指导，认真学习贯彻党的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二十大精神。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全面贯彻落实党组织领导的校长负责制，制定《山丹育才中学党总支领导的校长负责制工作方案》《山丹育才中学党总支会议议事规则》《山丹育才中学校长办公会议议事规则》，学校议事决策机制更加成熟、学校管理制度更加完善，学校财务工作严格执行上级各项财务政策、规章制度和要求，逐步建立并规范了财务管理体制和运行机制，基本提高了各项办学资金的使用效益，通过对现有资源的优化配置和合理使用，有力地促进了学校各项工作顺利开展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通过加强预算收支的管理，不断建立健全内部管理制度，梳理内部管理流程，部门整体支出管理情况得到了提升。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四、存在的问题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（1）预算绩效知识薄弱。由于部门整体支出绩效评价专业性强，加上无历史经验可借鉴，导致财政支出绩效还不能发挥最大的效果。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2）预算绩效规范管理有盲点。在县财政逐步加强绩效管理的情况下，我单位财务人员面对当前绩效管理工作既没有现成的经验可供借鉴，又缺乏专业性很强的技能储备，只能是边工作、边学习、边积累，短期内部分工作只能停留在表面，难以做到程序规范、管理科学，难以满足当前绩效管理要求。</w:t>
      </w:r>
    </w:p>
    <w:p>
      <w:pPr>
        <w:numPr>
          <w:ilvl w:val="0"/>
          <w:numId w:val="0"/>
        </w:numPr>
        <w:spacing w:line="240" w:lineRule="auto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五、</w:t>
      </w:r>
      <w:r>
        <w:rPr>
          <w:rFonts w:hint="eastAsia" w:ascii="黑体" w:hAnsi="黑体" w:eastAsia="黑体"/>
          <w:sz w:val="32"/>
          <w:szCs w:val="32"/>
        </w:rPr>
        <w:t>下一步改进工作的措施</w:t>
      </w:r>
    </w:p>
    <w:p>
      <w:pPr>
        <w:numPr>
          <w:ilvl w:val="0"/>
          <w:numId w:val="0"/>
        </w:numPr>
        <w:spacing w:line="24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1.进一步规范支出绩效评价的流程、方法。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2.对绩效评价的指标体系建设需完善。目前的评价指标较为单一，不适用于所有的项目，建立健全评价指标体有利于项目的自评与日后工作的开展。</w:t>
      </w:r>
    </w:p>
    <w:p>
      <w:pPr>
        <w:spacing w:line="576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六、意见建议</w:t>
      </w:r>
    </w:p>
    <w:p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1.加大绩效评价工作的宣传力度，使单位领导、广大干部职工充分认识到绩效评价工作的重要性。</w:t>
      </w:r>
    </w:p>
    <w:p>
      <w:pPr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2.进一步规范绩效评价方法和程序，加强财务人员绩效知识的培训，提高绩效评价工作的质量。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76" w:lineRule="exact"/>
        <w:ind w:firstLine="640" w:firstLineChars="200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山丹育才中学</w:t>
      </w:r>
    </w:p>
    <w:p>
      <w:pPr>
        <w:spacing w:line="576" w:lineRule="exact"/>
        <w:ind w:firstLine="640" w:firstLineChars="200"/>
        <w:jc w:val="center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2023年6月8日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9712A8"/>
    <w:multiLevelType w:val="singleLevel"/>
    <w:tmpl w:val="429712A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kwZWFjNjExYjI3MzNjMGY5NDI1NjQxMjUwN2I4NTEifQ=="/>
  </w:docVars>
  <w:rsids>
    <w:rsidRoot w:val="42C71578"/>
    <w:rsid w:val="00194BCB"/>
    <w:rsid w:val="004857A1"/>
    <w:rsid w:val="007D09B9"/>
    <w:rsid w:val="00897FD8"/>
    <w:rsid w:val="00AC4864"/>
    <w:rsid w:val="00AC4EBA"/>
    <w:rsid w:val="00CB2C4F"/>
    <w:rsid w:val="00E04AF3"/>
    <w:rsid w:val="00ED4999"/>
    <w:rsid w:val="00EE167A"/>
    <w:rsid w:val="07DC3BA9"/>
    <w:rsid w:val="082D6F2F"/>
    <w:rsid w:val="0BB27B77"/>
    <w:rsid w:val="0D45307F"/>
    <w:rsid w:val="0DA67827"/>
    <w:rsid w:val="0F9D4F15"/>
    <w:rsid w:val="13A450BF"/>
    <w:rsid w:val="14D17667"/>
    <w:rsid w:val="15383F44"/>
    <w:rsid w:val="1543030C"/>
    <w:rsid w:val="15C202FA"/>
    <w:rsid w:val="1A534CFE"/>
    <w:rsid w:val="1CC43502"/>
    <w:rsid w:val="1DC05747"/>
    <w:rsid w:val="2847572C"/>
    <w:rsid w:val="2AFD0D8E"/>
    <w:rsid w:val="2BF849F0"/>
    <w:rsid w:val="2C8D547C"/>
    <w:rsid w:val="2DDB2319"/>
    <w:rsid w:val="30EE0366"/>
    <w:rsid w:val="34AD003C"/>
    <w:rsid w:val="394A0F46"/>
    <w:rsid w:val="3B8552AF"/>
    <w:rsid w:val="42C71578"/>
    <w:rsid w:val="454E225C"/>
    <w:rsid w:val="4582780C"/>
    <w:rsid w:val="4A4949D1"/>
    <w:rsid w:val="4BB1695F"/>
    <w:rsid w:val="4DAF00E0"/>
    <w:rsid w:val="51234903"/>
    <w:rsid w:val="52C426D7"/>
    <w:rsid w:val="533706BA"/>
    <w:rsid w:val="57623B4E"/>
    <w:rsid w:val="580E5420"/>
    <w:rsid w:val="5FCB69A7"/>
    <w:rsid w:val="650C2DAB"/>
    <w:rsid w:val="6756152A"/>
    <w:rsid w:val="691D04C5"/>
    <w:rsid w:val="6A6B1C5C"/>
    <w:rsid w:val="6C784DA5"/>
    <w:rsid w:val="6D6F0E1C"/>
    <w:rsid w:val="72BA55E2"/>
    <w:rsid w:val="78495118"/>
    <w:rsid w:val="791306F0"/>
    <w:rsid w:val="79CA7378"/>
    <w:rsid w:val="79E7643C"/>
    <w:rsid w:val="7C2802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  <w:rPr>
      <w:rFonts w:ascii="Times New Roman" w:hAnsi="Times New Roman" w:eastAsia="宋体" w:cs="Times New Roman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</Words>
  <Characters>373</Characters>
  <Lines>3</Lines>
  <Paragraphs>1</Paragraphs>
  <TotalTime>0</TotalTime>
  <ScaleCrop>false</ScaleCrop>
  <LinksUpToDate>false</LinksUpToDate>
  <CharactersWithSpaces>437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2018-03-23T02:40:00Z</dcterms:created>
  <dc:creator>散步的鱼</dc:creator>
  <cp:lastModifiedBy>魏无羡</cp:lastModifiedBy>
  <cp:lastPrinted>2018-04-11T02:51:00Z</cp:lastPrinted>
  <dcterms:modified xsi:type="dcterms:W3CDTF">2023-12-13T03:54:51Z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0F01EE6451EE4354A32681A39B4D3A27_12</vt:lpwstr>
  </property>
</Properties>
</file>