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山丹县清北幼儿园部门整体支出绩效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Times New Roman" w:eastAsia="楷体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一、部门概况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1.单位基本情况</w:t>
      </w:r>
    </w:p>
    <w:p>
      <w:pPr>
        <w:widowControl/>
        <w:tabs>
          <w:tab w:val="left" w:pos="2880"/>
        </w:tabs>
        <w:spacing w:line="600" w:lineRule="exact"/>
        <w:ind w:firstLine="645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山丹县清北幼儿园成立于2022年8月，是一所高标准、现代化的幼儿园。是县委、县政府的惠民工程。园所占地面积6372.35平方米，在编教师33人，高级教师5名，中级教师8名，初级教师20名，省级骨干教师1人，省级青年教学能手1人，市级骨干教师1人，县级骨干教师7人。山丹县清北幼儿园秉承《纲要》《指南》精神，遵循“以幼为本，师幼同行，润泽一生”的办学宗旨，确立“启迪幼儿，成就教师，共创乐园”的办园目标，追求“雅行尚美，启智乐学”的教学理念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2.单位职能职责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（1）正确贯彻执行党和国家的教育方针、政策、法规。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（2）维护园所的保教秩序,为幼儿创造良好的学习生活环境。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（3）积极稳妥地推进教育改革,按教育规律办事,不断提高保教质量。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（4）根据幼儿园规模,设置管理机构,建立健全各项规章制度和岗位责任制。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（5）坚持教书育人，服务育人,环境育人方针,加强对幼儿的思想品德教育,使幼儿的德智体全面发展。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（6）抓好教师队伍建设,使每个教师都热心于学前教育事业。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（7）做好安全防范,保证幼儿的</w:t>
      </w:r>
      <w:bookmarkStart w:id="0" w:name="_GoBack"/>
      <w:bookmarkEnd w:id="0"/>
      <w:r>
        <w:rPr>
          <w:rFonts w:hint="eastAsia" w:ascii="仿宋" w:hAnsi="仿宋" w:eastAsia="仿宋"/>
          <w:bCs/>
          <w:color w:val="000000" w:themeColor="text1"/>
          <w:sz w:val="32"/>
          <w:szCs w:val="32"/>
          <w:lang w:eastAsia="zh-CN"/>
        </w:rPr>
        <w:t>人身安全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。</w:t>
      </w:r>
    </w:p>
    <w:p>
      <w:pPr>
        <w:widowControl/>
        <w:tabs>
          <w:tab w:val="left" w:pos="2880"/>
        </w:tabs>
        <w:spacing w:line="60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4.机构情况</w:t>
      </w:r>
    </w:p>
    <w:p>
      <w:pPr>
        <w:widowControl/>
        <w:tabs>
          <w:tab w:val="left" w:pos="2880"/>
        </w:tabs>
        <w:spacing w:line="600" w:lineRule="exact"/>
        <w:ind w:firstLine="640" w:firstLineChars="200"/>
        <w:rPr>
          <w:rFonts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2023年单位有保教室、功能室（美工室、绘本馆）、保健室、财务室、保教办公室、园长室等组成。</w:t>
      </w:r>
    </w:p>
    <w:p>
      <w:pPr>
        <w:spacing w:line="560" w:lineRule="exact"/>
        <w:ind w:firstLine="321" w:firstLineChars="1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（二）整体收支情况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1.收入决算情况：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2022年度山丹县清</w:t>
      </w:r>
      <w:r>
        <w:rPr>
          <w:rFonts w:ascii="仿宋_GB2312" w:eastAsia="仿宋_GB2312"/>
          <w:sz w:val="32"/>
          <w:szCs w:val="32"/>
        </w:rPr>
        <w:t>北</w:t>
      </w:r>
      <w:r>
        <w:rPr>
          <w:rFonts w:hint="eastAsia" w:ascii="仿宋_GB2312" w:eastAsia="仿宋_GB2312"/>
          <w:sz w:val="32"/>
          <w:szCs w:val="32"/>
        </w:rPr>
        <w:t>幼儿园一般公共预算财政拨款</w:t>
      </w:r>
      <w:r>
        <w:rPr>
          <w:rFonts w:ascii="仿宋_GB2312" w:eastAsia="仿宋_GB2312"/>
          <w:sz w:val="32"/>
          <w:szCs w:val="32"/>
        </w:rPr>
        <w:t>275173.24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2.支出决算情况：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2022年度山丹县清北幼儿园一般公共预算财政拨款</w:t>
      </w:r>
      <w:r>
        <w:rPr>
          <w:rFonts w:ascii="仿宋_GB2312" w:eastAsia="仿宋_GB2312"/>
          <w:sz w:val="32"/>
          <w:szCs w:val="32"/>
        </w:rPr>
        <w:t>275173.24</w:t>
      </w:r>
      <w:r>
        <w:rPr>
          <w:rFonts w:hint="eastAsia" w:ascii="仿宋_GB2312" w:eastAsia="仿宋_GB2312"/>
          <w:sz w:val="32"/>
          <w:szCs w:val="32"/>
        </w:rPr>
        <w:t>元。其中，教育支出</w:t>
      </w:r>
      <w:r>
        <w:rPr>
          <w:rFonts w:ascii="仿宋_GB2312" w:eastAsia="仿宋_GB2312"/>
          <w:sz w:val="32"/>
          <w:szCs w:val="32"/>
        </w:rPr>
        <w:t>230485</w:t>
      </w:r>
      <w:r>
        <w:rPr>
          <w:rFonts w:hint="eastAsia" w:ascii="仿宋_GB2312" w:eastAsia="仿宋_GB2312"/>
          <w:sz w:val="32"/>
          <w:szCs w:val="32"/>
        </w:rPr>
        <w:t>元，社会保障和就业支出</w:t>
      </w:r>
      <w:r>
        <w:rPr>
          <w:rFonts w:ascii="仿宋_GB2312" w:eastAsia="仿宋_GB2312"/>
          <w:sz w:val="32"/>
          <w:szCs w:val="32"/>
        </w:rPr>
        <w:t>19798.84</w:t>
      </w:r>
      <w:r>
        <w:rPr>
          <w:rFonts w:hint="eastAsia" w:ascii="仿宋_GB2312" w:eastAsia="仿宋_GB2312"/>
          <w:sz w:val="32"/>
          <w:szCs w:val="32"/>
        </w:rPr>
        <w:t>元，卫生健康支出</w:t>
      </w:r>
      <w:r>
        <w:rPr>
          <w:rFonts w:ascii="仿宋_GB2312" w:eastAsia="仿宋_GB2312"/>
          <w:sz w:val="32"/>
          <w:szCs w:val="32"/>
        </w:rPr>
        <w:t>10321.4</w:t>
      </w:r>
      <w:r>
        <w:rPr>
          <w:rFonts w:hint="eastAsia" w:ascii="仿宋_GB2312" w:eastAsia="仿宋_GB2312"/>
          <w:sz w:val="32"/>
          <w:szCs w:val="32"/>
        </w:rPr>
        <w:t>元，住房保障支出</w:t>
      </w:r>
      <w:r>
        <w:rPr>
          <w:rFonts w:ascii="仿宋_GB2312" w:eastAsia="仿宋_GB2312"/>
          <w:sz w:val="32"/>
          <w:szCs w:val="32"/>
        </w:rPr>
        <w:t>14568</w:t>
      </w:r>
      <w:r>
        <w:rPr>
          <w:rFonts w:hint="eastAsia" w:ascii="仿宋_GB2312" w:eastAsia="仿宋_GB2312"/>
          <w:sz w:val="32"/>
          <w:szCs w:val="32"/>
        </w:rPr>
        <w:t>元，共计支出</w:t>
      </w:r>
      <w:r>
        <w:rPr>
          <w:rFonts w:ascii="仿宋_GB2312" w:eastAsia="仿宋_GB2312"/>
          <w:sz w:val="32"/>
          <w:szCs w:val="32"/>
        </w:rPr>
        <w:t>275173.24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二、整体支出管理及使用情况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2022年度，共计支出</w:t>
      </w:r>
      <w:r>
        <w:rPr>
          <w:rFonts w:ascii="仿宋_GB2312" w:eastAsia="仿宋_GB2312"/>
          <w:sz w:val="32"/>
          <w:szCs w:val="32"/>
        </w:rPr>
        <w:t>275173.24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（二）“三公”经费决算说明</w:t>
      </w:r>
    </w:p>
    <w:p>
      <w:pPr>
        <w:spacing w:line="576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eastAsia="仿宋"/>
          <w:color w:val="000000" w:themeColor="text1"/>
          <w:sz w:val="32"/>
          <w:szCs w:val="32"/>
        </w:rPr>
        <w:t>本</w:t>
      </w:r>
      <w:r>
        <w:rPr>
          <w:rFonts w:eastAsia="仿宋"/>
          <w:color w:val="000000" w:themeColor="text1"/>
          <w:sz w:val="32"/>
          <w:szCs w:val="32"/>
        </w:rPr>
        <w:t>单位2022年预算</w:t>
      </w:r>
      <w:r>
        <w:rPr>
          <w:rFonts w:hint="eastAsia" w:eastAsia="仿宋"/>
          <w:color w:val="000000" w:themeColor="text1"/>
          <w:sz w:val="32"/>
          <w:szCs w:val="32"/>
        </w:rPr>
        <w:t>中无“三公”经费支出。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（三）支出管理情况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严格执行管理法律法规，强化资金的管理和使用。以县财政局资金支付管理相关规定为准绳，同时结合实际制定了山丹县清北幼儿园财务管理等制度，加强资金的管理和监督，杜绝违规违法事件的发生。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（四）资产管理情况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1.建立健全固定资产管理制度。财务室设置总账、明细分类账进行登记,指定专人负责财产物资管理,并定期盘点核对。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2.对录像设备、电脑、打印机、复印机、摄相机、照相机等属于政府采购管理的物品,按照县财政局的相关规定执行,由经办人和证明人签字后,报分管领导审核,园长党</w:t>
      </w:r>
      <w:r>
        <w:rPr>
          <w:rFonts w:ascii="仿宋_GB2312" w:eastAsia="仿宋_GB2312"/>
          <w:sz w:val="32"/>
          <w:szCs w:val="32"/>
        </w:rPr>
        <w:t>支</w:t>
      </w:r>
      <w:r>
        <w:rPr>
          <w:rFonts w:hint="eastAsia" w:ascii="仿宋_GB2312" w:eastAsia="仿宋_GB2312"/>
          <w:sz w:val="32"/>
          <w:szCs w:val="32"/>
        </w:rPr>
        <w:t>部书记签批,并按规定进行固定资产管理核算。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三、整体支出绩效情况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山丹县清北幼儿园严格按照2022年初预算数进行支出,全部用于推进学前教育事业的发展、完善园所基础建设、保证教职员工的福利待遇,有效促进幼儿园科学规划、合理定位、勤俭办学、内涵发展。资金使用过程中财务管理规范有序,严格按照年初预算进行部门支出,坚持以服务教育教学为中心,以保障正常开展各项日常教育教学活动为重点,为园所日常运转提供有力保障为原则,做到不浪费、不滥用,对成本控制进行了严格把关。工资福利的按时发放,保障了教职员工的权益;随着公用经费支出中对园本教研和教师培训经费保障的进一步强化,为教师提供了更多的学习、培训机会,教师专业化水平和综合素质不断提升,使得教育教学工作良好发展。山丹县清北幼儿园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年部门整体支出绩效评价指标自评得100分,整体绩效评估自评等级为优秀。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四、存在的问题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1.近年来随着社会的进步，幼儿园办学条件不断改善。园所各项设施不断完善,如音乐器材、游戏器械，多功能一体机的使用，造成维修费支出增加。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2.幼儿园的固定资产管理和财产管理制度还有待完善。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五、下一步改进工作的措施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1.切实做好预算编制工作,做好本单位情况调查,认真预算部门资金需求,使预算资金合理。及时支出资金,减少部门资金结转。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2.进一步建立健全财务制度,规范财务管理,规范教育教学行为;提高教育教学质量,加强校园文化建设,加强园所廉政建设。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3.加强园所财会人员专业知识培训,认真做好园所年初预算和年终决算。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六、意见建议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加强对非财会专业会计的财务培训，使单位财务工作、预算编制工作能更有效更合理的周转运行，使资金和账务处理更高效更合理。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山丹县清北幼儿园</w:t>
      </w:r>
    </w:p>
    <w:p>
      <w:pPr>
        <w:spacing w:line="560" w:lineRule="exact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2023年3月27日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FjN2Q5Yzc3MGQ2OTQ1Mzc0MGJiNGU5NTJmNzg2ZjgifQ=="/>
  </w:docVars>
  <w:rsids>
    <w:rsidRoot w:val="42C71578"/>
    <w:rsid w:val="0000457C"/>
    <w:rsid w:val="00026396"/>
    <w:rsid w:val="00061B11"/>
    <w:rsid w:val="00182B0D"/>
    <w:rsid w:val="00194BCB"/>
    <w:rsid w:val="002053FF"/>
    <w:rsid w:val="002B335C"/>
    <w:rsid w:val="003271AE"/>
    <w:rsid w:val="003E48B9"/>
    <w:rsid w:val="004633E2"/>
    <w:rsid w:val="004857A1"/>
    <w:rsid w:val="007515D5"/>
    <w:rsid w:val="0075695D"/>
    <w:rsid w:val="007D09B9"/>
    <w:rsid w:val="007F3499"/>
    <w:rsid w:val="00866745"/>
    <w:rsid w:val="008915A3"/>
    <w:rsid w:val="00897FD8"/>
    <w:rsid w:val="008F5A50"/>
    <w:rsid w:val="009105D4"/>
    <w:rsid w:val="00984C4C"/>
    <w:rsid w:val="00991F44"/>
    <w:rsid w:val="00996E23"/>
    <w:rsid w:val="009E2F68"/>
    <w:rsid w:val="00A65D0B"/>
    <w:rsid w:val="00AC4864"/>
    <w:rsid w:val="00B35CB7"/>
    <w:rsid w:val="00B43D46"/>
    <w:rsid w:val="00CB2C4F"/>
    <w:rsid w:val="00CE6F02"/>
    <w:rsid w:val="00D03571"/>
    <w:rsid w:val="00E0224D"/>
    <w:rsid w:val="00E04AF3"/>
    <w:rsid w:val="00ED4999"/>
    <w:rsid w:val="00EE167A"/>
    <w:rsid w:val="00F3023D"/>
    <w:rsid w:val="00F46D04"/>
    <w:rsid w:val="138A2895"/>
    <w:rsid w:val="14D17667"/>
    <w:rsid w:val="2C144647"/>
    <w:rsid w:val="3C217CCD"/>
    <w:rsid w:val="42C71578"/>
    <w:rsid w:val="50756972"/>
    <w:rsid w:val="601529DF"/>
    <w:rsid w:val="69ED1F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266</Words>
  <Characters>1521</Characters>
  <Lines>12</Lines>
  <Paragraphs>3</Paragraphs>
  <TotalTime>38</TotalTime>
  <ScaleCrop>false</ScaleCrop>
  <LinksUpToDate>false</LinksUpToDate>
  <CharactersWithSpaces>1784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2018-03-23T02:40:00Z</dcterms:created>
  <dc:creator>散步的鱼</dc:creator>
  <cp:lastModifiedBy>Administrator</cp:lastModifiedBy>
  <cp:lastPrinted>2023-06-09T09:26:00Z</cp:lastPrinted>
  <dcterms:modified xsi:type="dcterms:W3CDTF">2025-05-31T09:23:19Z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74934820A89E49AEB2514AB67CE74804_12</vt:lpwstr>
  </property>
</Properties>
</file>