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201AB">
      <w:pPr>
        <w:pStyle w:val="2"/>
        <w:keepNext w:val="0"/>
        <w:keepLines w:val="0"/>
        <w:pageBreakBefore w:val="0"/>
        <w:widowControl w:val="0"/>
        <w:kinsoku/>
        <w:wordWrap/>
        <w:overflowPunct/>
        <w:topLinePunct w:val="0"/>
        <w:autoSpaceDE/>
        <w:autoSpaceDN/>
        <w:bidi w:val="0"/>
        <w:adjustRightInd/>
        <w:snapToGrid/>
        <w:spacing w:after="0" w:line="587" w:lineRule="exact"/>
        <w:ind w:left="0" w:leftChars="0"/>
        <w:jc w:val="both"/>
        <w:textAlignment w:val="auto"/>
        <w:rPr>
          <w:rFonts w:hint="eastAsia" w:ascii="仿宋_GB2312" w:eastAsia="仿宋_GB2312"/>
          <w:bCs/>
          <w:sz w:val="36"/>
          <w:szCs w:val="36"/>
        </w:rPr>
      </w:pPr>
    </w:p>
    <w:p w14:paraId="6CA51ABE">
      <w:pPr>
        <w:pStyle w:val="2"/>
        <w:keepNext w:val="0"/>
        <w:keepLines w:val="0"/>
        <w:pageBreakBefore w:val="0"/>
        <w:widowControl w:val="0"/>
        <w:kinsoku/>
        <w:wordWrap/>
        <w:overflowPunct/>
        <w:topLinePunct w:val="0"/>
        <w:autoSpaceDE/>
        <w:autoSpaceDN/>
        <w:bidi w:val="0"/>
        <w:adjustRightInd/>
        <w:snapToGrid/>
        <w:spacing w:after="0" w:line="587" w:lineRule="exact"/>
        <w:ind w:left="0" w:leftChars="0"/>
        <w:jc w:val="both"/>
        <w:textAlignment w:val="auto"/>
        <w:rPr>
          <w:rFonts w:hint="eastAsia" w:ascii="仿宋_GB2312" w:eastAsia="仿宋_GB2312"/>
          <w:bCs/>
          <w:sz w:val="36"/>
          <w:szCs w:val="36"/>
        </w:rPr>
      </w:pPr>
    </w:p>
    <w:p w14:paraId="36655163">
      <w:pPr>
        <w:pStyle w:val="2"/>
        <w:keepNext w:val="0"/>
        <w:keepLines w:val="0"/>
        <w:pageBreakBefore w:val="0"/>
        <w:widowControl w:val="0"/>
        <w:kinsoku/>
        <w:wordWrap/>
        <w:overflowPunct/>
        <w:topLinePunct w:val="0"/>
        <w:autoSpaceDE/>
        <w:autoSpaceDN/>
        <w:bidi w:val="0"/>
        <w:adjustRightInd/>
        <w:snapToGrid/>
        <w:spacing w:after="0" w:line="587" w:lineRule="exact"/>
        <w:ind w:left="0" w:leftChars="0"/>
        <w:jc w:val="both"/>
        <w:textAlignment w:val="auto"/>
        <w:rPr>
          <w:rFonts w:hint="eastAsia" w:ascii="仿宋_GB2312" w:eastAsia="仿宋_GB2312"/>
          <w:bCs/>
          <w:sz w:val="36"/>
          <w:szCs w:val="36"/>
        </w:rPr>
      </w:pPr>
    </w:p>
    <w:p w14:paraId="7EFD9AB6">
      <w:pPr>
        <w:pStyle w:val="2"/>
        <w:keepNext w:val="0"/>
        <w:keepLines w:val="0"/>
        <w:pageBreakBefore w:val="0"/>
        <w:widowControl w:val="0"/>
        <w:kinsoku/>
        <w:wordWrap/>
        <w:overflowPunct/>
        <w:topLinePunct w:val="0"/>
        <w:autoSpaceDE/>
        <w:autoSpaceDN/>
        <w:bidi w:val="0"/>
        <w:adjustRightInd/>
        <w:snapToGrid/>
        <w:spacing w:after="0" w:line="587" w:lineRule="exact"/>
        <w:ind w:left="0" w:leftChars="0"/>
        <w:jc w:val="both"/>
        <w:textAlignment w:val="auto"/>
        <w:rPr>
          <w:rFonts w:hint="eastAsia" w:ascii="仿宋_GB2312" w:eastAsia="仿宋_GB2312"/>
          <w:bCs/>
          <w:sz w:val="36"/>
          <w:szCs w:val="36"/>
        </w:rPr>
      </w:pPr>
    </w:p>
    <w:p w14:paraId="13C20EE8">
      <w:pPr>
        <w:pStyle w:val="2"/>
        <w:keepNext w:val="0"/>
        <w:keepLines w:val="0"/>
        <w:pageBreakBefore w:val="0"/>
        <w:widowControl w:val="0"/>
        <w:kinsoku/>
        <w:wordWrap/>
        <w:overflowPunct/>
        <w:topLinePunct w:val="0"/>
        <w:autoSpaceDE/>
        <w:autoSpaceDN/>
        <w:bidi w:val="0"/>
        <w:adjustRightInd/>
        <w:snapToGrid/>
        <w:spacing w:after="0" w:line="587" w:lineRule="exact"/>
        <w:ind w:left="0" w:leftChars="0"/>
        <w:jc w:val="both"/>
        <w:textAlignment w:val="auto"/>
        <w:rPr>
          <w:rFonts w:hint="eastAsia" w:ascii="仿宋_GB2312" w:eastAsia="仿宋_GB2312"/>
          <w:bCs/>
          <w:sz w:val="36"/>
          <w:szCs w:val="36"/>
        </w:rPr>
      </w:pPr>
    </w:p>
    <w:p w14:paraId="4F1A2FC9">
      <w:pPr>
        <w:pStyle w:val="2"/>
        <w:keepNext w:val="0"/>
        <w:keepLines w:val="0"/>
        <w:pageBreakBefore w:val="0"/>
        <w:widowControl w:val="0"/>
        <w:kinsoku/>
        <w:wordWrap/>
        <w:overflowPunct/>
        <w:topLinePunct w:val="0"/>
        <w:autoSpaceDE/>
        <w:autoSpaceDN/>
        <w:bidi w:val="0"/>
        <w:adjustRightInd/>
        <w:snapToGrid/>
        <w:spacing w:after="0" w:line="587" w:lineRule="exact"/>
        <w:ind w:left="0" w:leftChars="0"/>
        <w:jc w:val="both"/>
        <w:textAlignment w:val="auto"/>
        <w:rPr>
          <w:rFonts w:hint="eastAsia" w:ascii="仿宋_GB2312" w:eastAsia="仿宋_GB2312"/>
          <w:bCs/>
          <w:sz w:val="36"/>
          <w:szCs w:val="36"/>
        </w:rPr>
      </w:pPr>
    </w:p>
    <w:p w14:paraId="22913BE9">
      <w:pPr>
        <w:keepLines w:val="0"/>
        <w:pageBreakBefore w:val="0"/>
        <w:widowControl w:val="0"/>
        <w:kinsoku/>
        <w:wordWrap/>
        <w:overflowPunct/>
        <w:topLinePunct w:val="0"/>
        <w:autoSpaceDE/>
        <w:autoSpaceDN/>
        <w:bidi w:val="0"/>
        <w:spacing w:line="587" w:lineRule="exact"/>
        <w:jc w:val="center"/>
        <w:textAlignment w:val="auto"/>
        <w:rPr>
          <w:rFonts w:hint="eastAsia" w:ascii="方正小标宋简体" w:eastAsia="方正小标宋简体"/>
          <w:sz w:val="40"/>
          <w:szCs w:val="40"/>
        </w:rPr>
      </w:pPr>
    </w:p>
    <w:p w14:paraId="74E2528F">
      <w:pPr>
        <w:keepNext w:val="0"/>
        <w:keepLines w:val="0"/>
        <w:pageBreakBefore w:val="0"/>
        <w:widowControl w:val="0"/>
        <w:kinsoku/>
        <w:wordWrap/>
        <w:overflowPunct/>
        <w:topLinePunct w:val="0"/>
        <w:autoSpaceDE/>
        <w:autoSpaceDN/>
        <w:bidi w:val="0"/>
        <w:adjustRightInd w:val="0"/>
        <w:snapToGrid w:val="0"/>
        <w:spacing w:line="587"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
      </w:pPr>
      <w:bookmarkStart w:id="0" w:name="_GoBack"/>
      <w:r>
        <w:rPr>
          <w:rFonts w:hint="eastAsia" w:ascii="方正小标宋简体" w:hAnsi="方正小标宋简体" w:eastAsia="方正小标宋简体" w:cs="方正小标宋简体"/>
          <w:b w:val="0"/>
          <w:bCs w:val="0"/>
          <w:color w:val="auto"/>
          <w:sz w:val="44"/>
          <w:szCs w:val="44"/>
          <w:lang w:eastAsia="zh-CN"/>
        </w:rPr>
        <w:t>中共山丹县委党校</w:t>
      </w:r>
    </w:p>
    <w:p w14:paraId="4113A151">
      <w:pPr>
        <w:keepNext w:val="0"/>
        <w:keepLines w:val="0"/>
        <w:pageBreakBefore w:val="0"/>
        <w:widowControl w:val="0"/>
        <w:kinsoku/>
        <w:wordWrap/>
        <w:overflowPunct/>
        <w:topLinePunct w:val="0"/>
        <w:autoSpaceDE/>
        <w:autoSpaceDN/>
        <w:bidi w:val="0"/>
        <w:adjustRightInd w:val="0"/>
        <w:snapToGrid w:val="0"/>
        <w:spacing w:line="587"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关于部门整体支出绩效的自评报告</w:t>
      </w:r>
    </w:p>
    <w:bookmarkEnd w:id="0"/>
    <w:p w14:paraId="5036B154">
      <w:pPr>
        <w:keepLines w:val="0"/>
        <w:pageBreakBefore w:val="0"/>
        <w:widowControl w:val="0"/>
        <w:kinsoku/>
        <w:wordWrap/>
        <w:overflowPunct/>
        <w:topLinePunct w:val="0"/>
        <w:autoSpaceDE/>
        <w:autoSpaceDN/>
        <w:bidi w:val="0"/>
        <w:spacing w:line="587" w:lineRule="exact"/>
        <w:ind w:firstLine="640" w:firstLineChars="200"/>
        <w:textAlignment w:val="auto"/>
        <w:rPr>
          <w:rFonts w:ascii="黑体" w:hAnsi="黑体" w:eastAsia="黑体"/>
          <w:sz w:val="32"/>
          <w:szCs w:val="32"/>
        </w:rPr>
      </w:pPr>
      <w:r>
        <w:rPr>
          <w:rFonts w:hint="eastAsia" w:ascii="黑体" w:hAnsi="黑体" w:eastAsia="黑体"/>
          <w:sz w:val="32"/>
          <w:szCs w:val="32"/>
        </w:rPr>
        <w:t>一、部门概况</w:t>
      </w:r>
    </w:p>
    <w:p w14:paraId="21436111">
      <w:pPr>
        <w:keepLines w:val="0"/>
        <w:pageBreakBefore w:val="0"/>
        <w:widowControl w:val="0"/>
        <w:kinsoku/>
        <w:wordWrap/>
        <w:overflowPunct/>
        <w:topLinePunct w:val="0"/>
        <w:autoSpaceDE/>
        <w:autoSpaceDN/>
        <w:bidi w:val="0"/>
        <w:spacing w:line="587" w:lineRule="exact"/>
        <w:ind w:firstLine="643" w:firstLineChars="200"/>
        <w:textAlignment w:val="auto"/>
        <w:rPr>
          <w:rFonts w:ascii="楷体_GB2312" w:hAnsi="黑体" w:eastAsia="楷体_GB2312"/>
          <w:b/>
          <w:sz w:val="32"/>
          <w:szCs w:val="32"/>
        </w:rPr>
      </w:pPr>
      <w:r>
        <w:rPr>
          <w:rFonts w:hint="eastAsia" w:ascii="楷体_GB2312" w:hAnsi="黑体" w:eastAsia="楷体_GB2312"/>
          <w:b/>
          <w:sz w:val="32"/>
          <w:szCs w:val="32"/>
        </w:rPr>
        <w:t>（一）基本情况</w:t>
      </w:r>
    </w:p>
    <w:p w14:paraId="626A5E16">
      <w:pPr>
        <w:keepLines w:val="0"/>
        <w:pageBreakBefore w:val="0"/>
        <w:widowControl w:val="0"/>
        <w:kinsoku/>
        <w:wordWrap/>
        <w:overflowPunct/>
        <w:topLinePunct w:val="0"/>
        <w:autoSpaceDE/>
        <w:autoSpaceDN/>
        <w:bidi w:val="0"/>
        <w:spacing w:line="587" w:lineRule="exact"/>
        <w:ind w:firstLine="643"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rPr>
        <w:t>单位基本情况</w:t>
      </w:r>
      <w:r>
        <w:rPr>
          <w:rFonts w:hint="eastAsia" w:ascii="仿宋_GB2312" w:eastAsia="仿宋_GB2312"/>
          <w:sz w:val="32"/>
          <w:szCs w:val="32"/>
          <w:lang w:val="en-US" w:eastAsia="zh-CN"/>
        </w:rPr>
        <w:t>:</w:t>
      </w:r>
    </w:p>
    <w:p w14:paraId="1C347BC9">
      <w:pPr>
        <w:keepLines w:val="0"/>
        <w:pageBreakBefore w:val="0"/>
        <w:widowControl w:val="0"/>
        <w:kinsoku/>
        <w:wordWrap/>
        <w:overflowPunct/>
        <w:topLinePunct w:val="0"/>
        <w:autoSpaceDE/>
        <w:autoSpaceDN/>
        <w:bidi w:val="0"/>
        <w:spacing w:line="587" w:lineRule="exact"/>
        <w:ind w:firstLine="640" w:firstLineChars="200"/>
        <w:textAlignment w:val="auto"/>
        <w:rPr>
          <w:rFonts w:hint="eastAsia" w:ascii="仿宋_GB2312" w:eastAsia="仿宋_GB2312"/>
          <w:kern w:val="0"/>
          <w:sz w:val="32"/>
          <w:szCs w:val="32"/>
          <w:lang w:eastAsia="zh-CN"/>
        </w:rPr>
      </w:pPr>
      <w:r>
        <w:rPr>
          <w:rFonts w:hint="eastAsia" w:ascii="仿宋_GB2312" w:eastAsia="仿宋_GB2312"/>
          <w:kern w:val="0"/>
          <w:sz w:val="32"/>
          <w:szCs w:val="32"/>
        </w:rPr>
        <w:t>2019年机构改革后，山丹县委党校被确定为县委直属事业单位，</w:t>
      </w:r>
      <w:r>
        <w:rPr>
          <w:rFonts w:hint="eastAsia" w:ascii="仿宋_GB2312" w:eastAsia="仿宋_GB2312"/>
          <w:kern w:val="0"/>
          <w:sz w:val="32"/>
          <w:szCs w:val="32"/>
          <w:lang w:val="en-US" w:eastAsia="zh-CN"/>
        </w:rPr>
        <w:t>实行一级财务预算管理。</w:t>
      </w:r>
      <w:r>
        <w:rPr>
          <w:rFonts w:hint="eastAsia" w:ascii="仿宋_GB2312" w:eastAsia="仿宋_GB2312"/>
          <w:kern w:val="0"/>
          <w:sz w:val="32"/>
          <w:szCs w:val="32"/>
        </w:rPr>
        <w:t>县委党校和行政学校两块牌子、一套人马、合署办公</w:t>
      </w:r>
      <w:r>
        <w:rPr>
          <w:rFonts w:hint="eastAsia" w:ascii="仿宋_GB2312" w:eastAsia="仿宋_GB2312"/>
          <w:kern w:val="0"/>
          <w:sz w:val="32"/>
          <w:szCs w:val="32"/>
          <w:lang w:val="en-US" w:eastAsia="zh-CN"/>
        </w:rPr>
        <w:t>,</w:t>
      </w:r>
      <w:r>
        <w:rPr>
          <w:rFonts w:hint="eastAsia" w:ascii="仿宋_GB2312" w:eastAsia="仿宋_GB2312"/>
          <w:kern w:val="0"/>
          <w:sz w:val="32"/>
          <w:szCs w:val="32"/>
        </w:rPr>
        <w:t>实行校务委员会领导体制</w:t>
      </w:r>
      <w:r>
        <w:rPr>
          <w:rFonts w:hint="eastAsia" w:ascii="仿宋_GB2312" w:eastAsia="仿宋_GB2312"/>
          <w:kern w:val="0"/>
          <w:sz w:val="32"/>
          <w:szCs w:val="32"/>
          <w:lang w:val="en-US" w:eastAsia="zh-CN"/>
        </w:rPr>
        <w:t>。党校现</w:t>
      </w:r>
      <w:r>
        <w:rPr>
          <w:rFonts w:hint="eastAsia" w:ascii="仿宋_GB2312" w:eastAsia="仿宋_GB2312"/>
          <w:kern w:val="0"/>
          <w:sz w:val="32"/>
          <w:szCs w:val="32"/>
        </w:rPr>
        <w:t>核定事业编制13名，其中，管理岗位2人，专业技术人员11人</w:t>
      </w:r>
      <w:r>
        <w:rPr>
          <w:rFonts w:hint="eastAsia" w:ascii="仿宋_GB2312" w:eastAsia="仿宋_GB2312"/>
          <w:kern w:val="0"/>
          <w:sz w:val="32"/>
          <w:szCs w:val="32"/>
          <w:lang w:eastAsia="zh-CN"/>
        </w:rPr>
        <w:t>。</w:t>
      </w:r>
    </w:p>
    <w:p w14:paraId="74415AE7">
      <w:pPr>
        <w:keepLines w:val="0"/>
        <w:pageBreakBefore w:val="0"/>
        <w:widowControl w:val="0"/>
        <w:kinsoku/>
        <w:wordWrap/>
        <w:overflowPunct/>
        <w:topLinePunct w:val="0"/>
        <w:autoSpaceDE/>
        <w:autoSpaceDN/>
        <w:bidi w:val="0"/>
        <w:spacing w:line="587"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rPr>
        <w:t>单位职能职责</w:t>
      </w:r>
      <w:r>
        <w:rPr>
          <w:rFonts w:hint="eastAsia" w:ascii="仿宋_GB2312" w:eastAsia="仿宋_GB2312"/>
          <w:b/>
          <w:bCs/>
          <w:sz w:val="32"/>
          <w:szCs w:val="32"/>
          <w:lang w:val="en-US" w:eastAsia="zh-CN"/>
        </w:rPr>
        <w:t>:</w:t>
      </w:r>
    </w:p>
    <w:p w14:paraId="104CAEBF">
      <w:pPr>
        <w:keepLines w:val="0"/>
        <w:pageBreakBefore w:val="0"/>
        <w:widowControl w:val="0"/>
        <w:kinsoku/>
        <w:wordWrap/>
        <w:overflowPunct/>
        <w:topLinePunct w:val="0"/>
        <w:autoSpaceDE/>
        <w:autoSpaceDN/>
        <w:bidi w:val="0"/>
        <w:spacing w:line="587" w:lineRule="exact"/>
        <w:ind w:firstLine="640" w:firstLineChars="200"/>
        <w:jc w:val="left"/>
        <w:textAlignment w:val="auto"/>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1.培训轮训各级党员领导干部、公务员、国有企业管理人员及后备干部，培养理论干部；</w:t>
      </w:r>
    </w:p>
    <w:p w14:paraId="23A57E1E">
      <w:pPr>
        <w:keepLines w:val="0"/>
        <w:pageBreakBefore w:val="0"/>
        <w:widowControl w:val="0"/>
        <w:kinsoku/>
        <w:wordWrap/>
        <w:overflowPunct/>
        <w:topLinePunct w:val="0"/>
        <w:autoSpaceDE/>
        <w:autoSpaceDN/>
        <w:bidi w:val="0"/>
        <w:spacing w:line="587" w:lineRule="exact"/>
        <w:ind w:firstLine="640" w:firstLineChars="200"/>
        <w:jc w:val="left"/>
        <w:textAlignment w:val="auto"/>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2.承办</w:t>
      </w:r>
      <w:r>
        <w:rPr>
          <w:rFonts w:hint="eastAsia" w:ascii="仿宋_GB2312" w:hAnsi="黑体" w:eastAsia="仿宋_GB2312"/>
          <w:bCs/>
          <w:color w:val="000000" w:themeColor="text1"/>
          <w:sz w:val="32"/>
          <w:szCs w:val="32"/>
          <w:lang w:eastAsia="zh-CN"/>
          <w14:textFill>
            <w14:solidFill>
              <w14:schemeClr w14:val="tx1"/>
            </w14:solidFill>
          </w14:textFill>
        </w:rPr>
        <w:t>县</w:t>
      </w:r>
      <w:r>
        <w:rPr>
          <w:rFonts w:hint="eastAsia" w:ascii="仿宋_GB2312" w:hAnsi="黑体" w:eastAsia="仿宋_GB2312"/>
          <w:bCs/>
          <w:color w:val="000000" w:themeColor="text1"/>
          <w:sz w:val="32"/>
          <w:szCs w:val="32"/>
          <w14:textFill>
            <w14:solidFill>
              <w14:schemeClr w14:val="tx1"/>
            </w14:solidFill>
          </w14:textFill>
        </w:rPr>
        <w:t>委和</w:t>
      </w:r>
      <w:r>
        <w:rPr>
          <w:rFonts w:hint="eastAsia" w:ascii="仿宋_GB2312" w:hAnsi="黑体" w:eastAsia="仿宋_GB2312"/>
          <w:bCs/>
          <w:color w:val="000000" w:themeColor="text1"/>
          <w:sz w:val="32"/>
          <w:szCs w:val="32"/>
          <w:lang w:eastAsia="zh-CN"/>
          <w14:textFill>
            <w14:solidFill>
              <w14:schemeClr w14:val="tx1"/>
            </w14:solidFill>
          </w14:textFill>
        </w:rPr>
        <w:t>县</w:t>
      </w:r>
      <w:r>
        <w:rPr>
          <w:rFonts w:hint="eastAsia" w:ascii="仿宋_GB2312" w:hAnsi="黑体" w:eastAsia="仿宋_GB2312"/>
          <w:bCs/>
          <w:color w:val="000000" w:themeColor="text1"/>
          <w:sz w:val="32"/>
          <w:szCs w:val="32"/>
          <w14:textFill>
            <w14:solidFill>
              <w14:schemeClr w14:val="tx1"/>
            </w14:solidFill>
          </w14:textFill>
        </w:rPr>
        <w:t>政府举办的各类专题研讨班，开展多种形式的委托培训和合作培训；</w:t>
      </w:r>
    </w:p>
    <w:p w14:paraId="0F6B2E8E">
      <w:pPr>
        <w:keepLines w:val="0"/>
        <w:pageBreakBefore w:val="0"/>
        <w:widowControl w:val="0"/>
        <w:kinsoku/>
        <w:wordWrap/>
        <w:overflowPunct/>
        <w:topLinePunct w:val="0"/>
        <w:autoSpaceDE/>
        <w:autoSpaceDN/>
        <w:bidi w:val="0"/>
        <w:spacing w:line="587" w:lineRule="exact"/>
        <w:ind w:firstLine="640" w:firstLineChars="200"/>
        <w:jc w:val="left"/>
        <w:textAlignment w:val="auto"/>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3.围绕国际国内出现的新情况新问题开展科学研究，承担</w:t>
      </w:r>
      <w:r>
        <w:rPr>
          <w:rFonts w:hint="eastAsia" w:ascii="仿宋_GB2312" w:hAnsi="黑体" w:eastAsia="仿宋_GB2312"/>
          <w:bCs/>
          <w:color w:val="000000" w:themeColor="text1"/>
          <w:sz w:val="32"/>
          <w:szCs w:val="32"/>
          <w:lang w:eastAsia="zh-CN"/>
          <w14:textFill>
            <w14:solidFill>
              <w14:schemeClr w14:val="tx1"/>
            </w14:solidFill>
          </w14:textFill>
        </w:rPr>
        <w:t>县</w:t>
      </w:r>
      <w:r>
        <w:rPr>
          <w:rFonts w:hint="eastAsia" w:ascii="仿宋_GB2312" w:hAnsi="黑体" w:eastAsia="仿宋_GB2312"/>
          <w:bCs/>
          <w:color w:val="000000" w:themeColor="text1"/>
          <w:sz w:val="32"/>
          <w:szCs w:val="32"/>
          <w14:textFill>
            <w14:solidFill>
              <w14:schemeClr w14:val="tx1"/>
            </w14:solidFill>
          </w14:textFill>
        </w:rPr>
        <w:t>委和</w:t>
      </w:r>
      <w:r>
        <w:rPr>
          <w:rFonts w:hint="eastAsia" w:ascii="仿宋_GB2312" w:hAnsi="黑体" w:eastAsia="仿宋_GB2312"/>
          <w:bCs/>
          <w:color w:val="000000" w:themeColor="text1"/>
          <w:sz w:val="32"/>
          <w:szCs w:val="32"/>
          <w:lang w:eastAsia="zh-CN"/>
          <w14:textFill>
            <w14:solidFill>
              <w14:schemeClr w14:val="tx1"/>
            </w14:solidFill>
          </w14:textFill>
        </w:rPr>
        <w:t>县</w:t>
      </w:r>
      <w:r>
        <w:rPr>
          <w:rFonts w:hint="eastAsia" w:ascii="仿宋_GB2312" w:hAnsi="黑体" w:eastAsia="仿宋_GB2312"/>
          <w:bCs/>
          <w:color w:val="000000" w:themeColor="text1"/>
          <w:sz w:val="32"/>
          <w:szCs w:val="32"/>
          <w14:textFill>
            <w14:solidFill>
              <w14:schemeClr w14:val="tx1"/>
            </w14:solidFill>
          </w14:textFill>
        </w:rPr>
        <w:t>政府下达的调研任务，推进理论创新；</w:t>
      </w:r>
    </w:p>
    <w:p w14:paraId="45B08639">
      <w:pPr>
        <w:keepLines w:val="0"/>
        <w:pageBreakBefore w:val="0"/>
        <w:widowControl w:val="0"/>
        <w:kinsoku/>
        <w:wordWrap/>
        <w:overflowPunct/>
        <w:topLinePunct w:val="0"/>
        <w:autoSpaceDE/>
        <w:autoSpaceDN/>
        <w:bidi w:val="0"/>
        <w:spacing w:line="587" w:lineRule="exact"/>
        <w:ind w:firstLine="640" w:firstLineChars="200"/>
        <w:jc w:val="left"/>
        <w:textAlignment w:val="auto"/>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4.针对改革开放和社会主义现代化进程中的重大理论和现实问题，开展马克思主义中国化最新成果的理论宣传，开展党的路线、方针、政策的宣传；</w:t>
      </w:r>
    </w:p>
    <w:p w14:paraId="48EC62DF">
      <w:pPr>
        <w:keepLines w:val="0"/>
        <w:pageBreakBefore w:val="0"/>
        <w:widowControl w:val="0"/>
        <w:kinsoku/>
        <w:wordWrap/>
        <w:overflowPunct/>
        <w:topLinePunct w:val="0"/>
        <w:autoSpaceDE/>
        <w:autoSpaceDN/>
        <w:bidi w:val="0"/>
        <w:spacing w:line="587" w:lineRule="exact"/>
        <w:ind w:firstLine="640" w:firstLineChars="200"/>
        <w:jc w:val="left"/>
        <w:textAlignment w:val="auto"/>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5.按照有关法律法规和政策规定，开展其他形式的干部继续教育和培训；</w:t>
      </w:r>
    </w:p>
    <w:p w14:paraId="1089D72E">
      <w:pPr>
        <w:keepLines w:val="0"/>
        <w:pageBreakBefore w:val="0"/>
        <w:widowControl w:val="0"/>
        <w:kinsoku/>
        <w:wordWrap/>
        <w:overflowPunct/>
        <w:topLinePunct w:val="0"/>
        <w:autoSpaceDE/>
        <w:autoSpaceDN/>
        <w:bidi w:val="0"/>
        <w:spacing w:line="587" w:lineRule="exact"/>
        <w:ind w:firstLine="640" w:firstLineChars="200"/>
        <w:jc w:val="left"/>
        <w:textAlignment w:val="auto"/>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6.开展同国内教育、研究等机构和组织的合作与交流；</w:t>
      </w:r>
    </w:p>
    <w:p w14:paraId="7F5EAFEE">
      <w:pPr>
        <w:keepLines w:val="0"/>
        <w:pageBreakBefore w:val="0"/>
        <w:widowControl w:val="0"/>
        <w:kinsoku/>
        <w:wordWrap/>
        <w:overflowPunct/>
        <w:topLinePunct w:val="0"/>
        <w:autoSpaceDE/>
        <w:autoSpaceDN/>
        <w:bidi w:val="0"/>
        <w:spacing w:line="587" w:lineRule="exact"/>
        <w:ind w:firstLine="640" w:firstLineChars="200"/>
        <w:jc w:val="left"/>
        <w:textAlignment w:val="auto"/>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7.开展决策咨询工作，为党委、政府提供决策咨询；</w:t>
      </w:r>
    </w:p>
    <w:p w14:paraId="5A9A05E8">
      <w:pPr>
        <w:keepLines w:val="0"/>
        <w:pageBreakBefore w:val="0"/>
        <w:widowControl w:val="0"/>
        <w:kinsoku/>
        <w:wordWrap/>
        <w:overflowPunct/>
        <w:topLinePunct w:val="0"/>
        <w:autoSpaceDE/>
        <w:autoSpaceDN/>
        <w:bidi w:val="0"/>
        <w:spacing w:line="587" w:lineRule="exact"/>
        <w:ind w:firstLine="640" w:firstLineChars="200"/>
        <w:jc w:val="left"/>
        <w:textAlignment w:val="auto"/>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8.完成县委、县政府交办的其他任务。</w:t>
      </w:r>
    </w:p>
    <w:p w14:paraId="760A61F7">
      <w:pPr>
        <w:keepLines w:val="0"/>
        <w:pageBreakBefore w:val="0"/>
        <w:widowControl w:val="0"/>
        <w:kinsoku/>
        <w:wordWrap/>
        <w:overflowPunct/>
        <w:topLinePunct w:val="0"/>
        <w:autoSpaceDE/>
        <w:autoSpaceDN/>
        <w:bidi w:val="0"/>
        <w:spacing w:line="587" w:lineRule="exact"/>
        <w:ind w:firstLine="640" w:firstLineChars="200"/>
        <w:textAlignment w:val="auto"/>
        <w:rPr>
          <w:rFonts w:hint="eastAsia" w:ascii="仿宋_GB2312" w:eastAsia="仿宋_GB2312"/>
          <w:sz w:val="32"/>
          <w:szCs w:val="32"/>
        </w:rPr>
      </w:pPr>
    </w:p>
    <w:p w14:paraId="00EADAE3">
      <w:pPr>
        <w:keepLines w:val="0"/>
        <w:pageBreakBefore w:val="0"/>
        <w:widowControl w:val="0"/>
        <w:numPr>
          <w:ilvl w:val="0"/>
          <w:numId w:val="1"/>
        </w:numPr>
        <w:kinsoku/>
        <w:wordWrap/>
        <w:overflowPunct/>
        <w:topLinePunct w:val="0"/>
        <w:autoSpaceDE/>
        <w:autoSpaceDN/>
        <w:bidi w:val="0"/>
        <w:spacing w:line="587" w:lineRule="exact"/>
        <w:ind w:firstLine="643" w:firstLineChars="200"/>
        <w:textAlignment w:val="auto"/>
        <w:rPr>
          <w:rFonts w:hint="eastAsia" w:ascii="楷体_GB2312" w:hAnsi="黑体" w:eastAsia="楷体_GB2312"/>
          <w:b/>
          <w:sz w:val="32"/>
          <w:szCs w:val="32"/>
        </w:rPr>
      </w:pPr>
      <w:r>
        <w:rPr>
          <w:rFonts w:hint="eastAsia" w:ascii="楷体_GB2312" w:hAnsi="黑体" w:eastAsia="楷体_GB2312"/>
          <w:b/>
          <w:sz w:val="32"/>
          <w:szCs w:val="32"/>
        </w:rPr>
        <w:t>年度重点工作</w:t>
      </w:r>
    </w:p>
    <w:p w14:paraId="34F432BA">
      <w:pPr>
        <w:keepLines w:val="0"/>
        <w:pageBreakBefore w:val="0"/>
        <w:widowControl w:val="0"/>
        <w:kinsoku/>
        <w:wordWrap/>
        <w:overflowPunct/>
        <w:topLinePunct w:val="0"/>
        <w:autoSpaceDE/>
        <w:autoSpaceDN/>
        <w:bidi w:val="0"/>
        <w:spacing w:line="587" w:lineRule="exact"/>
        <w:ind w:firstLine="640" w:firstLineChars="200"/>
        <w:jc w:val="left"/>
        <w:textAlignment w:val="auto"/>
        <w:rPr>
          <w:rFonts w:hint="eastAsia"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1.</w:t>
      </w:r>
      <w:r>
        <w:rPr>
          <w:rFonts w:hint="eastAsia" w:ascii="仿宋_GB2312" w:hAnsi="黑体" w:eastAsia="仿宋_GB2312"/>
          <w:bCs/>
          <w:color w:val="000000" w:themeColor="text1"/>
          <w:sz w:val="32"/>
          <w:szCs w:val="32"/>
          <w14:textFill>
            <w14:solidFill>
              <w14:schemeClr w14:val="tx1"/>
            </w14:solidFill>
          </w14:textFill>
        </w:rPr>
        <w:t>突出主业，</w:t>
      </w:r>
      <w:r>
        <w:rPr>
          <w:rFonts w:hint="eastAsia" w:ascii="仿宋_GB2312" w:hAnsi="黑体" w:eastAsia="仿宋_GB2312"/>
          <w:bCs/>
          <w:color w:val="000000" w:themeColor="text1"/>
          <w:sz w:val="32"/>
          <w:szCs w:val="32"/>
          <w:lang w:val="en-US" w:eastAsia="zh-CN"/>
          <w14:textFill>
            <w14:solidFill>
              <w14:schemeClr w14:val="tx1"/>
            </w14:solidFill>
          </w14:textFill>
        </w:rPr>
        <w:t>扎实开展教育培训工作。</w:t>
      </w:r>
    </w:p>
    <w:p w14:paraId="14C36204">
      <w:pPr>
        <w:keepLines w:val="0"/>
        <w:pageBreakBefore w:val="0"/>
        <w:widowControl w:val="0"/>
        <w:kinsoku/>
        <w:wordWrap/>
        <w:overflowPunct/>
        <w:topLinePunct w:val="0"/>
        <w:autoSpaceDE/>
        <w:autoSpaceDN/>
        <w:bidi w:val="0"/>
        <w:spacing w:line="587" w:lineRule="exact"/>
        <w:ind w:firstLine="640" w:firstLineChars="200"/>
        <w:jc w:val="left"/>
        <w:textAlignment w:val="auto"/>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2.全面推进，切实加强理论宣传辅导。</w:t>
      </w:r>
    </w:p>
    <w:p w14:paraId="36A7B0A1">
      <w:pPr>
        <w:keepLines w:val="0"/>
        <w:pageBreakBefore w:val="0"/>
        <w:widowControl w:val="0"/>
        <w:kinsoku/>
        <w:wordWrap/>
        <w:overflowPunct/>
        <w:topLinePunct w:val="0"/>
        <w:autoSpaceDE/>
        <w:autoSpaceDN/>
        <w:bidi w:val="0"/>
        <w:spacing w:line="587" w:lineRule="exact"/>
        <w:ind w:firstLine="640" w:firstLineChars="200"/>
        <w:jc w:val="left"/>
        <w:textAlignment w:val="auto"/>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深学细研，</w:t>
      </w:r>
      <w:r>
        <w:rPr>
          <w:rFonts w:hint="eastAsia" w:ascii="仿宋_GB2312" w:hAnsi="黑体" w:eastAsia="仿宋_GB2312"/>
          <w:bCs/>
          <w:color w:val="000000" w:themeColor="text1"/>
          <w:sz w:val="32"/>
          <w:szCs w:val="32"/>
          <w:lang w:val="en-US" w:eastAsia="zh-CN"/>
          <w14:textFill>
            <w14:solidFill>
              <w14:schemeClr w14:val="tx1"/>
            </w14:solidFill>
          </w14:textFill>
        </w:rPr>
        <w:t>积极开展</w:t>
      </w:r>
      <w:r>
        <w:rPr>
          <w:rFonts w:hint="eastAsia" w:ascii="仿宋_GB2312" w:hAnsi="黑体" w:eastAsia="仿宋_GB2312"/>
          <w:bCs/>
          <w:color w:val="000000" w:themeColor="text1"/>
          <w:sz w:val="32"/>
          <w:szCs w:val="32"/>
          <w14:textFill>
            <w14:solidFill>
              <w14:schemeClr w14:val="tx1"/>
            </w14:solidFill>
          </w14:textFill>
        </w:rPr>
        <w:t>科研</w:t>
      </w:r>
      <w:r>
        <w:rPr>
          <w:rFonts w:hint="eastAsia" w:ascii="仿宋_GB2312" w:hAnsi="黑体" w:eastAsia="仿宋_GB2312"/>
          <w:bCs/>
          <w:color w:val="000000" w:themeColor="text1"/>
          <w:sz w:val="32"/>
          <w:szCs w:val="32"/>
          <w:lang w:val="en-US" w:eastAsia="zh-CN"/>
          <w14:textFill>
            <w14:solidFill>
              <w14:schemeClr w14:val="tx1"/>
            </w14:solidFill>
          </w14:textFill>
        </w:rPr>
        <w:t>咨政工作</w:t>
      </w:r>
      <w:r>
        <w:rPr>
          <w:rFonts w:hint="eastAsia" w:ascii="仿宋_GB2312" w:hAnsi="黑体" w:eastAsia="仿宋_GB2312"/>
          <w:bCs/>
          <w:color w:val="000000" w:themeColor="text1"/>
          <w:sz w:val="32"/>
          <w:szCs w:val="32"/>
          <w14:textFill>
            <w14:solidFill>
              <w14:schemeClr w14:val="tx1"/>
            </w14:solidFill>
          </w14:textFill>
        </w:rPr>
        <w:t>。</w:t>
      </w:r>
    </w:p>
    <w:p w14:paraId="05352753">
      <w:pPr>
        <w:keepLines w:val="0"/>
        <w:pageBreakBefore w:val="0"/>
        <w:widowControl w:val="0"/>
        <w:kinsoku/>
        <w:wordWrap/>
        <w:overflowPunct/>
        <w:topLinePunct w:val="0"/>
        <w:autoSpaceDE/>
        <w:autoSpaceDN/>
        <w:bidi w:val="0"/>
        <w:spacing w:line="587" w:lineRule="exact"/>
        <w:ind w:firstLine="643" w:firstLineChars="200"/>
        <w:textAlignment w:val="auto"/>
        <w:rPr>
          <w:rFonts w:ascii="楷体_GB2312" w:hAnsi="黑体" w:eastAsia="楷体_GB2312"/>
          <w:b/>
          <w:sz w:val="32"/>
          <w:szCs w:val="32"/>
        </w:rPr>
      </w:pPr>
      <w:r>
        <w:rPr>
          <w:rFonts w:hint="eastAsia" w:ascii="楷体_GB2312" w:hAnsi="黑体" w:eastAsia="楷体_GB2312"/>
          <w:b/>
          <w:sz w:val="32"/>
          <w:szCs w:val="32"/>
        </w:rPr>
        <w:t>（三）整体收支情况</w:t>
      </w:r>
    </w:p>
    <w:p w14:paraId="5217A151">
      <w:pPr>
        <w:keepLines w:val="0"/>
        <w:pageBreakBefore w:val="0"/>
        <w:widowControl w:val="0"/>
        <w:kinsoku/>
        <w:wordWrap/>
        <w:overflowPunct/>
        <w:topLinePunct w:val="0"/>
        <w:autoSpaceDE/>
        <w:autoSpaceDN/>
        <w:bidi w:val="0"/>
        <w:spacing w:line="587"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1.收入决算情况：</w:t>
      </w:r>
    </w:p>
    <w:p w14:paraId="6EE2924B">
      <w:pPr>
        <w:keepLines w:val="0"/>
        <w:pageBreakBefore w:val="0"/>
        <w:widowControl w:val="0"/>
        <w:kinsoku/>
        <w:wordWrap/>
        <w:overflowPunct/>
        <w:topLinePunct w:val="0"/>
        <w:autoSpaceDE/>
        <w:autoSpaceDN/>
        <w:bidi w:val="0"/>
        <w:spacing w:line="587" w:lineRule="exact"/>
        <w:ind w:firstLine="640" w:firstLineChars="200"/>
        <w:jc w:val="left"/>
        <w:textAlignment w:val="auto"/>
        <w:rPr>
          <w:rFonts w:hint="eastAsia"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202</w:t>
      </w: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年</w:t>
      </w:r>
      <w:r>
        <w:rPr>
          <w:rFonts w:hint="eastAsia" w:ascii="仿宋_GB2312" w:hAnsi="黑体" w:eastAsia="仿宋_GB2312"/>
          <w:bCs/>
          <w:color w:val="000000" w:themeColor="text1"/>
          <w:sz w:val="32"/>
          <w:szCs w:val="32"/>
          <w:lang w:eastAsia="zh-CN"/>
          <w14:textFill>
            <w14:solidFill>
              <w14:schemeClr w14:val="tx1"/>
            </w14:solidFill>
          </w14:textFill>
        </w:rPr>
        <w:t>党校</w:t>
      </w:r>
      <w:r>
        <w:rPr>
          <w:rFonts w:hint="eastAsia" w:ascii="仿宋_GB2312" w:hAnsi="黑体" w:eastAsia="仿宋_GB2312"/>
          <w:bCs/>
          <w:color w:val="000000" w:themeColor="text1"/>
          <w:sz w:val="32"/>
          <w:szCs w:val="32"/>
          <w14:textFill>
            <w14:solidFill>
              <w14:schemeClr w14:val="tx1"/>
            </w14:solidFill>
          </w14:textFill>
        </w:rPr>
        <w:t>一般公共预算财政拨款收入</w:t>
      </w:r>
      <w:r>
        <w:rPr>
          <w:rFonts w:hint="eastAsia" w:ascii="仿宋_GB2312" w:hAnsi="黑体" w:eastAsia="仿宋_GB2312"/>
          <w:bCs/>
          <w:color w:val="000000" w:themeColor="text1"/>
          <w:sz w:val="32"/>
          <w:szCs w:val="32"/>
          <w:lang w:val="en-US" w:eastAsia="zh-CN"/>
          <w14:textFill>
            <w14:solidFill>
              <w14:schemeClr w14:val="tx1"/>
            </w14:solidFill>
          </w14:textFill>
        </w:rPr>
        <w:t>291.46万</w:t>
      </w:r>
      <w:r>
        <w:rPr>
          <w:rFonts w:hint="eastAsia" w:ascii="仿宋_GB2312" w:hAnsi="黑体" w:eastAsia="仿宋_GB2312"/>
          <w:bCs/>
          <w:color w:val="000000" w:themeColor="text1"/>
          <w:sz w:val="32"/>
          <w:szCs w:val="32"/>
          <w14:textFill>
            <w14:solidFill>
              <w14:schemeClr w14:val="tx1"/>
            </w14:solidFill>
          </w14:textFill>
        </w:rPr>
        <w:t>元，</w:t>
      </w:r>
      <w:r>
        <w:rPr>
          <w:rFonts w:hint="eastAsia" w:ascii="仿宋_GB2312" w:hAnsi="黑体" w:eastAsia="仿宋_GB2312"/>
          <w:bCs/>
          <w:color w:val="000000" w:themeColor="text1"/>
          <w:sz w:val="32"/>
          <w:szCs w:val="32"/>
          <w:lang w:eastAsia="zh-CN"/>
          <w14:textFill>
            <w14:solidFill>
              <w14:schemeClr w14:val="tx1"/>
            </w14:solidFill>
          </w14:textFill>
        </w:rPr>
        <w:t>其他收入</w:t>
      </w:r>
      <w:r>
        <w:rPr>
          <w:rFonts w:hint="eastAsia" w:ascii="仿宋_GB2312" w:hAnsi="黑体" w:eastAsia="仿宋_GB2312"/>
          <w:bCs/>
          <w:color w:val="000000" w:themeColor="text1"/>
          <w:sz w:val="32"/>
          <w:szCs w:val="32"/>
          <w:lang w:val="en-US" w:eastAsia="zh-CN"/>
          <w14:textFill>
            <w14:solidFill>
              <w14:schemeClr w14:val="tx1"/>
            </w14:solidFill>
          </w14:textFill>
        </w:rPr>
        <w:t>26.43万元，主要为山丹县县委组织部拨付的干部教育培训经费和党校门禁系统收入。</w:t>
      </w:r>
    </w:p>
    <w:p w14:paraId="291A2FAC">
      <w:pPr>
        <w:keepLines w:val="0"/>
        <w:pageBreakBefore w:val="0"/>
        <w:widowControl w:val="0"/>
        <w:kinsoku/>
        <w:wordWrap/>
        <w:overflowPunct/>
        <w:topLinePunct w:val="0"/>
        <w:autoSpaceDE/>
        <w:autoSpaceDN/>
        <w:bidi w:val="0"/>
        <w:spacing w:line="587"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2.支出决算情况</w:t>
      </w:r>
    </w:p>
    <w:p w14:paraId="3D0523FF">
      <w:pPr>
        <w:keepLines w:val="0"/>
        <w:pageBreakBefore w:val="0"/>
        <w:widowControl w:val="0"/>
        <w:kinsoku/>
        <w:wordWrap/>
        <w:overflowPunct/>
        <w:topLinePunct w:val="0"/>
        <w:autoSpaceDE/>
        <w:autoSpaceDN/>
        <w:bidi w:val="0"/>
        <w:spacing w:line="587" w:lineRule="exact"/>
        <w:ind w:firstLine="640" w:firstLineChars="200"/>
        <w:jc w:val="left"/>
        <w:textAlignment w:val="auto"/>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202</w:t>
      </w: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年度</w:t>
      </w:r>
      <w:r>
        <w:rPr>
          <w:rFonts w:hint="eastAsia" w:ascii="仿宋_GB2312" w:hAnsi="黑体" w:eastAsia="仿宋_GB2312"/>
          <w:bCs/>
          <w:color w:val="000000" w:themeColor="text1"/>
          <w:sz w:val="32"/>
          <w:szCs w:val="32"/>
          <w:lang w:eastAsia="zh-CN"/>
          <w14:textFill>
            <w14:solidFill>
              <w14:schemeClr w14:val="tx1"/>
            </w14:solidFill>
          </w14:textFill>
        </w:rPr>
        <w:t>决算</w:t>
      </w:r>
      <w:r>
        <w:rPr>
          <w:rFonts w:hint="eastAsia" w:ascii="仿宋_GB2312" w:hAnsi="黑体" w:eastAsia="仿宋_GB2312"/>
          <w:bCs/>
          <w:color w:val="000000" w:themeColor="text1"/>
          <w:sz w:val="32"/>
          <w:szCs w:val="32"/>
          <w14:textFill>
            <w14:solidFill>
              <w14:schemeClr w14:val="tx1"/>
            </w14:solidFill>
          </w14:textFill>
        </w:rPr>
        <w:t>算支出合计</w:t>
      </w:r>
      <w:r>
        <w:rPr>
          <w:rFonts w:hint="eastAsia" w:ascii="仿宋_GB2312" w:hAnsi="黑体" w:eastAsia="仿宋_GB2312"/>
          <w:bCs/>
          <w:color w:val="000000" w:themeColor="text1"/>
          <w:sz w:val="32"/>
          <w:szCs w:val="32"/>
          <w:lang w:val="en-US" w:eastAsia="zh-CN"/>
          <w14:textFill>
            <w14:solidFill>
              <w14:schemeClr w14:val="tx1"/>
            </w14:solidFill>
          </w14:textFill>
        </w:rPr>
        <w:t>313.03</w:t>
      </w:r>
      <w:r>
        <w:rPr>
          <w:rFonts w:hint="eastAsia" w:ascii="仿宋_GB2312" w:hAnsi="黑体" w:eastAsia="仿宋_GB2312"/>
          <w:bCs/>
          <w:color w:val="000000" w:themeColor="text1"/>
          <w:sz w:val="32"/>
          <w:szCs w:val="32"/>
          <w14:textFill>
            <w14:solidFill>
              <w14:schemeClr w14:val="tx1"/>
            </w14:solidFill>
          </w14:textFill>
        </w:rPr>
        <w:t>万元，当年财政拨款主要是：（以下内容列出涉及本单位科目）</w:t>
      </w:r>
    </w:p>
    <w:p w14:paraId="04F64D75">
      <w:pPr>
        <w:keepLines w:val="0"/>
        <w:pageBreakBefore w:val="0"/>
        <w:widowControl w:val="0"/>
        <w:kinsoku/>
        <w:wordWrap/>
        <w:overflowPunct/>
        <w:topLinePunct w:val="0"/>
        <w:autoSpaceDE/>
        <w:autoSpaceDN/>
        <w:bidi w:val="0"/>
        <w:spacing w:line="587" w:lineRule="exact"/>
        <w:ind w:firstLine="640" w:firstLineChars="200"/>
        <w:jc w:val="left"/>
        <w:textAlignment w:val="auto"/>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1.</w:t>
      </w:r>
      <w:r>
        <w:rPr>
          <w:rFonts w:hint="eastAsia" w:ascii="仿宋_GB2312" w:hAnsi="黑体" w:eastAsia="仿宋_GB2312"/>
          <w:bCs/>
          <w:color w:val="000000" w:themeColor="text1"/>
          <w:sz w:val="32"/>
          <w:szCs w:val="32"/>
          <w:lang w:eastAsia="zh-CN"/>
          <w14:textFill>
            <w14:solidFill>
              <w14:schemeClr w14:val="tx1"/>
            </w14:solidFill>
          </w14:textFill>
        </w:rPr>
        <w:t>教育支出</w:t>
      </w:r>
      <w:r>
        <w:rPr>
          <w:rFonts w:hint="eastAsia" w:ascii="仿宋_GB2312" w:hAnsi="黑体" w:eastAsia="仿宋_GB2312"/>
          <w:bCs/>
          <w:color w:val="000000" w:themeColor="text1"/>
          <w:sz w:val="32"/>
          <w:szCs w:val="32"/>
          <w:lang w:val="en-US" w:eastAsia="zh-CN"/>
          <w14:textFill>
            <w14:solidFill>
              <w14:schemeClr w14:val="tx1"/>
            </w14:solidFill>
          </w14:textFill>
        </w:rPr>
        <w:t>246.01</w:t>
      </w:r>
      <w:r>
        <w:rPr>
          <w:rFonts w:hint="eastAsia" w:ascii="仿宋_GB2312" w:hAnsi="黑体" w:eastAsia="仿宋_GB2312"/>
          <w:bCs/>
          <w:color w:val="000000" w:themeColor="text1"/>
          <w:sz w:val="32"/>
          <w:szCs w:val="32"/>
          <w14:textFill>
            <w14:solidFill>
              <w14:schemeClr w14:val="tx1"/>
            </w14:solidFill>
          </w14:textFill>
        </w:rPr>
        <w:t>万元。</w:t>
      </w:r>
    </w:p>
    <w:p w14:paraId="695D34FD">
      <w:pPr>
        <w:keepLines w:val="0"/>
        <w:pageBreakBefore w:val="0"/>
        <w:widowControl w:val="0"/>
        <w:kinsoku/>
        <w:wordWrap/>
        <w:overflowPunct/>
        <w:topLinePunct w:val="0"/>
        <w:autoSpaceDE/>
        <w:autoSpaceDN/>
        <w:bidi w:val="0"/>
        <w:spacing w:line="587" w:lineRule="exact"/>
        <w:ind w:firstLine="640" w:firstLineChars="200"/>
        <w:jc w:val="left"/>
        <w:textAlignment w:val="auto"/>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2</w:t>
      </w:r>
      <w:r>
        <w:rPr>
          <w:rFonts w:hint="eastAsia" w:ascii="仿宋_GB2312" w:hAnsi="黑体" w:eastAsia="仿宋_GB2312"/>
          <w:bCs/>
          <w:color w:val="000000" w:themeColor="text1"/>
          <w:sz w:val="32"/>
          <w:szCs w:val="32"/>
          <w14:textFill>
            <w14:solidFill>
              <w14:schemeClr w14:val="tx1"/>
            </w14:solidFill>
          </w14:textFill>
        </w:rPr>
        <w:t>.社会保障和就业支出</w:t>
      </w:r>
      <w:r>
        <w:rPr>
          <w:rFonts w:hint="eastAsia" w:ascii="仿宋_GB2312" w:hAnsi="黑体" w:eastAsia="仿宋_GB2312"/>
          <w:bCs/>
          <w:color w:val="000000" w:themeColor="text1"/>
          <w:sz w:val="32"/>
          <w:szCs w:val="32"/>
          <w:lang w:val="en-US" w:eastAsia="zh-CN"/>
          <w14:textFill>
            <w14:solidFill>
              <w14:schemeClr w14:val="tx1"/>
            </w14:solidFill>
          </w14:textFill>
        </w:rPr>
        <w:t>24.7</w:t>
      </w:r>
      <w:r>
        <w:rPr>
          <w:rFonts w:hint="eastAsia" w:ascii="仿宋_GB2312" w:hAnsi="黑体" w:eastAsia="仿宋_GB2312"/>
          <w:bCs/>
          <w:color w:val="000000" w:themeColor="text1"/>
          <w:sz w:val="32"/>
          <w:szCs w:val="32"/>
          <w14:textFill>
            <w14:solidFill>
              <w14:schemeClr w14:val="tx1"/>
            </w14:solidFill>
          </w14:textFill>
        </w:rPr>
        <w:t>万元。</w:t>
      </w:r>
    </w:p>
    <w:p w14:paraId="1C362E83">
      <w:pPr>
        <w:keepLines w:val="0"/>
        <w:pageBreakBefore w:val="0"/>
        <w:widowControl w:val="0"/>
        <w:kinsoku/>
        <w:wordWrap/>
        <w:overflowPunct/>
        <w:topLinePunct w:val="0"/>
        <w:autoSpaceDE/>
        <w:autoSpaceDN/>
        <w:bidi w:val="0"/>
        <w:spacing w:line="587" w:lineRule="exact"/>
        <w:ind w:firstLine="640" w:firstLineChars="200"/>
        <w:jc w:val="left"/>
        <w:textAlignment w:val="auto"/>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.卫生健康支出</w:t>
      </w:r>
      <w:r>
        <w:rPr>
          <w:rFonts w:hint="eastAsia" w:ascii="仿宋_GB2312" w:hAnsi="黑体" w:eastAsia="仿宋_GB2312"/>
          <w:bCs/>
          <w:color w:val="000000" w:themeColor="text1"/>
          <w:sz w:val="32"/>
          <w:szCs w:val="32"/>
          <w:lang w:val="en-US" w:eastAsia="zh-CN"/>
          <w14:textFill>
            <w14:solidFill>
              <w14:schemeClr w14:val="tx1"/>
            </w14:solidFill>
          </w14:textFill>
        </w:rPr>
        <w:t>30.77</w:t>
      </w:r>
      <w:r>
        <w:rPr>
          <w:rFonts w:hint="eastAsia" w:ascii="仿宋_GB2312" w:hAnsi="黑体" w:eastAsia="仿宋_GB2312"/>
          <w:bCs/>
          <w:color w:val="000000" w:themeColor="text1"/>
          <w:sz w:val="32"/>
          <w:szCs w:val="32"/>
          <w14:textFill>
            <w14:solidFill>
              <w14:schemeClr w14:val="tx1"/>
            </w14:solidFill>
          </w14:textFill>
        </w:rPr>
        <w:t>万元。</w:t>
      </w:r>
    </w:p>
    <w:p w14:paraId="68281840">
      <w:pPr>
        <w:keepLines w:val="0"/>
        <w:pageBreakBefore w:val="0"/>
        <w:widowControl w:val="0"/>
        <w:kinsoku/>
        <w:wordWrap/>
        <w:overflowPunct/>
        <w:topLinePunct w:val="0"/>
        <w:autoSpaceDE/>
        <w:autoSpaceDN/>
        <w:bidi w:val="0"/>
        <w:spacing w:line="587" w:lineRule="exact"/>
        <w:ind w:firstLine="640" w:firstLineChars="200"/>
        <w:jc w:val="left"/>
        <w:textAlignment w:val="auto"/>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4</w:t>
      </w:r>
      <w:r>
        <w:rPr>
          <w:rFonts w:hint="eastAsia" w:ascii="仿宋_GB2312" w:hAnsi="黑体" w:eastAsia="仿宋_GB2312"/>
          <w:bCs/>
          <w:color w:val="000000" w:themeColor="text1"/>
          <w:sz w:val="32"/>
          <w:szCs w:val="32"/>
          <w14:textFill>
            <w14:solidFill>
              <w14:schemeClr w14:val="tx1"/>
            </w14:solidFill>
          </w14:textFill>
        </w:rPr>
        <w:t>.住房保障支出</w:t>
      </w:r>
      <w:r>
        <w:rPr>
          <w:rFonts w:hint="eastAsia" w:ascii="仿宋_GB2312" w:hAnsi="黑体" w:eastAsia="仿宋_GB2312"/>
          <w:bCs/>
          <w:color w:val="000000" w:themeColor="text1"/>
          <w:sz w:val="32"/>
          <w:szCs w:val="32"/>
          <w:lang w:val="en-US" w:eastAsia="zh-CN"/>
          <w14:textFill>
            <w14:solidFill>
              <w14:schemeClr w14:val="tx1"/>
            </w14:solidFill>
          </w14:textFill>
        </w:rPr>
        <w:t>11.55</w:t>
      </w:r>
      <w:r>
        <w:rPr>
          <w:rFonts w:hint="eastAsia" w:ascii="仿宋_GB2312" w:hAnsi="黑体" w:eastAsia="仿宋_GB2312"/>
          <w:bCs/>
          <w:color w:val="000000" w:themeColor="text1"/>
          <w:sz w:val="32"/>
          <w:szCs w:val="32"/>
          <w14:textFill>
            <w14:solidFill>
              <w14:schemeClr w14:val="tx1"/>
            </w14:solidFill>
          </w14:textFill>
        </w:rPr>
        <w:t>万元。</w:t>
      </w:r>
    </w:p>
    <w:p w14:paraId="701E192E">
      <w:pPr>
        <w:keepLines w:val="0"/>
        <w:pageBreakBefore w:val="0"/>
        <w:widowControl w:val="0"/>
        <w:kinsoku/>
        <w:wordWrap/>
        <w:overflowPunct/>
        <w:topLinePunct w:val="0"/>
        <w:autoSpaceDE/>
        <w:autoSpaceDN/>
        <w:bidi w:val="0"/>
        <w:spacing w:line="587" w:lineRule="exact"/>
        <w:ind w:firstLine="640" w:firstLineChars="200"/>
        <w:textAlignment w:val="auto"/>
        <w:rPr>
          <w:rFonts w:ascii="黑体" w:hAnsi="黑体" w:eastAsia="黑体"/>
          <w:sz w:val="32"/>
          <w:szCs w:val="32"/>
        </w:rPr>
      </w:pPr>
      <w:r>
        <w:rPr>
          <w:rFonts w:hint="eastAsia" w:ascii="黑体" w:hAnsi="黑体" w:eastAsia="黑体"/>
          <w:sz w:val="32"/>
          <w:szCs w:val="32"/>
        </w:rPr>
        <w:t>二、整体支出管理及使用情况</w:t>
      </w:r>
    </w:p>
    <w:p w14:paraId="4A60F6CA">
      <w:pPr>
        <w:keepLines w:val="0"/>
        <w:pageBreakBefore w:val="0"/>
        <w:widowControl w:val="0"/>
        <w:kinsoku/>
        <w:wordWrap/>
        <w:overflowPunct/>
        <w:topLinePunct w:val="0"/>
        <w:autoSpaceDE/>
        <w:autoSpaceDN/>
        <w:bidi w:val="0"/>
        <w:spacing w:line="587"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（一）基本支出</w:t>
      </w:r>
    </w:p>
    <w:p w14:paraId="28D7A2DB">
      <w:pPr>
        <w:keepLines w:val="0"/>
        <w:pageBreakBefore w:val="0"/>
        <w:widowControl w:val="0"/>
        <w:kinsoku/>
        <w:wordWrap/>
        <w:overflowPunct/>
        <w:topLinePunct w:val="0"/>
        <w:autoSpaceDE/>
        <w:autoSpaceDN/>
        <w:bidi w:val="0"/>
        <w:spacing w:line="587" w:lineRule="exact"/>
        <w:ind w:firstLine="640" w:firstLineChars="200"/>
        <w:jc w:val="left"/>
        <w:textAlignment w:val="auto"/>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eastAsia="仿宋_GB2312"/>
          <w:sz w:val="32"/>
          <w:szCs w:val="32"/>
          <w:lang w:val="en-US" w:eastAsia="zh-CN"/>
        </w:rPr>
        <w:t>2023年党校基本支出为</w:t>
      </w:r>
      <w:r>
        <w:rPr>
          <w:rFonts w:hint="eastAsia" w:ascii="仿宋_GB2312" w:hAnsi="黑体" w:eastAsia="仿宋_GB2312"/>
          <w:bCs/>
          <w:color w:val="000000" w:themeColor="text1"/>
          <w:sz w:val="32"/>
          <w:szCs w:val="32"/>
          <w:lang w:val="en-US" w:eastAsia="zh-CN"/>
          <w14:textFill>
            <w14:solidFill>
              <w14:schemeClr w14:val="tx1"/>
            </w14:solidFill>
          </w14:textFill>
        </w:rPr>
        <w:t>210.14</w:t>
      </w:r>
      <w:r>
        <w:rPr>
          <w:rFonts w:hint="eastAsia" w:ascii="仿宋_GB2312" w:eastAsia="仿宋_GB2312"/>
          <w:sz w:val="32"/>
          <w:szCs w:val="32"/>
          <w:lang w:val="en-US" w:eastAsia="zh-CN"/>
        </w:rPr>
        <w:t>万元，</w:t>
      </w:r>
      <w:r>
        <w:rPr>
          <w:rFonts w:hint="eastAsia" w:ascii="仿宋_GB2312" w:hAnsi="黑体" w:eastAsia="仿宋_GB2312"/>
          <w:bCs/>
          <w:color w:val="000000" w:themeColor="text1"/>
          <w:sz w:val="32"/>
          <w:szCs w:val="32"/>
          <w14:textFill>
            <w14:solidFill>
              <w14:schemeClr w14:val="tx1"/>
            </w14:solidFill>
          </w14:textFill>
        </w:rPr>
        <w:t>当年财政拨款主要是：（以下内容列出涉及本单位科目）</w:t>
      </w:r>
    </w:p>
    <w:p w14:paraId="02115C72">
      <w:pPr>
        <w:keepLines w:val="0"/>
        <w:pageBreakBefore w:val="0"/>
        <w:widowControl w:val="0"/>
        <w:numPr>
          <w:ilvl w:val="0"/>
          <w:numId w:val="0"/>
        </w:numPr>
        <w:kinsoku/>
        <w:wordWrap/>
        <w:overflowPunct/>
        <w:topLinePunct w:val="0"/>
        <w:autoSpaceDE/>
        <w:autoSpaceDN/>
        <w:bidi w:val="0"/>
        <w:spacing w:line="587"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1.工资福利支出：</w:t>
      </w:r>
      <w:r>
        <w:rPr>
          <w:rFonts w:hint="eastAsia" w:ascii="仿宋_GB2312" w:hAnsi="黑体" w:eastAsia="仿宋_GB2312"/>
          <w:bCs/>
          <w:color w:val="000000" w:themeColor="text1"/>
          <w:sz w:val="32"/>
          <w:szCs w:val="32"/>
          <w:lang w:val="en-US" w:eastAsia="zh-CN"/>
          <w14:textFill>
            <w14:solidFill>
              <w14:schemeClr w14:val="tx1"/>
            </w14:solidFill>
          </w14:textFill>
        </w:rPr>
        <w:t>184.66</w:t>
      </w:r>
      <w:r>
        <w:rPr>
          <w:rFonts w:hint="eastAsia" w:ascii="仿宋_GB2312" w:eastAsia="仿宋_GB2312"/>
          <w:sz w:val="32"/>
          <w:szCs w:val="32"/>
          <w:lang w:val="en-US" w:eastAsia="zh-CN"/>
        </w:rPr>
        <w:t>万元</w:t>
      </w:r>
    </w:p>
    <w:p w14:paraId="4AD8B450">
      <w:pPr>
        <w:keepLines w:val="0"/>
        <w:pageBreakBefore w:val="0"/>
        <w:widowControl w:val="0"/>
        <w:numPr>
          <w:ilvl w:val="0"/>
          <w:numId w:val="0"/>
        </w:numPr>
        <w:kinsoku/>
        <w:wordWrap/>
        <w:overflowPunct/>
        <w:topLinePunct w:val="0"/>
        <w:autoSpaceDE/>
        <w:autoSpaceDN/>
        <w:bidi w:val="0"/>
        <w:spacing w:line="587" w:lineRule="exact"/>
        <w:ind w:firstLine="64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2.商品服务支出：</w:t>
      </w:r>
      <w:r>
        <w:rPr>
          <w:rFonts w:hint="eastAsia" w:ascii="仿宋_GB2312" w:hAnsi="黑体" w:eastAsia="仿宋_GB2312"/>
          <w:bCs/>
          <w:color w:val="000000" w:themeColor="text1"/>
          <w:sz w:val="32"/>
          <w:szCs w:val="32"/>
          <w:lang w:val="en-US" w:eastAsia="zh-CN"/>
          <w14:textFill>
            <w14:solidFill>
              <w14:schemeClr w14:val="tx1"/>
            </w14:solidFill>
          </w14:textFill>
        </w:rPr>
        <w:t>25.48</w:t>
      </w:r>
      <w:r>
        <w:rPr>
          <w:rFonts w:hint="eastAsia" w:ascii="仿宋_GB2312" w:eastAsia="仿宋_GB2312"/>
          <w:sz w:val="32"/>
          <w:szCs w:val="32"/>
          <w:lang w:val="en-US" w:eastAsia="zh-CN"/>
        </w:rPr>
        <w:t>万元</w:t>
      </w:r>
    </w:p>
    <w:p w14:paraId="74865166">
      <w:pPr>
        <w:keepLines w:val="0"/>
        <w:pageBreakBefore w:val="0"/>
        <w:widowControl w:val="0"/>
        <w:kinsoku/>
        <w:wordWrap/>
        <w:overflowPunct/>
        <w:topLinePunct w:val="0"/>
        <w:autoSpaceDE/>
        <w:autoSpaceDN/>
        <w:bidi w:val="0"/>
        <w:spacing w:line="587"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（二）项目支出</w:t>
      </w:r>
    </w:p>
    <w:p w14:paraId="6B1F8888">
      <w:pPr>
        <w:keepLines w:val="0"/>
        <w:pageBreakBefore w:val="0"/>
        <w:widowControl w:val="0"/>
        <w:kinsoku/>
        <w:wordWrap/>
        <w:overflowPunct/>
        <w:topLinePunct w:val="0"/>
        <w:autoSpaceDE/>
        <w:autoSpaceDN/>
        <w:bidi w:val="0"/>
        <w:spacing w:line="587"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2023年党校项目支出为102.89万元，全部为财政拨款项目支出。</w:t>
      </w:r>
    </w:p>
    <w:p w14:paraId="5C73F0F3">
      <w:pPr>
        <w:keepLines w:val="0"/>
        <w:pageBreakBefore w:val="0"/>
        <w:widowControl w:val="0"/>
        <w:numPr>
          <w:ilvl w:val="0"/>
          <w:numId w:val="1"/>
        </w:numPr>
        <w:kinsoku/>
        <w:wordWrap/>
        <w:overflowPunct/>
        <w:topLinePunct w:val="0"/>
        <w:autoSpaceDE/>
        <w:autoSpaceDN/>
        <w:bidi w:val="0"/>
        <w:spacing w:line="587" w:lineRule="exact"/>
        <w:ind w:left="0" w:leftChars="0"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“三公”经费决算说明</w:t>
      </w:r>
    </w:p>
    <w:p w14:paraId="45C19E7F">
      <w:pPr>
        <w:keepLines w:val="0"/>
        <w:pageBreakBefore w:val="0"/>
        <w:widowControl w:val="0"/>
        <w:kinsoku/>
        <w:wordWrap/>
        <w:overflowPunct/>
        <w:topLinePunct w:val="0"/>
        <w:autoSpaceDE/>
        <w:autoSpaceDN/>
        <w:bidi w:val="0"/>
        <w:spacing w:line="587" w:lineRule="exact"/>
        <w:ind w:firstLine="640" w:firstLineChars="200"/>
        <w:jc w:val="left"/>
        <w:textAlignment w:val="auto"/>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1.因公出国（境）费用0万元。</w:t>
      </w:r>
    </w:p>
    <w:p w14:paraId="6EC2A0FC">
      <w:pPr>
        <w:keepLines w:val="0"/>
        <w:pageBreakBefore w:val="0"/>
        <w:widowControl w:val="0"/>
        <w:kinsoku/>
        <w:wordWrap/>
        <w:overflowPunct/>
        <w:topLinePunct w:val="0"/>
        <w:autoSpaceDE/>
        <w:autoSpaceDN/>
        <w:bidi w:val="0"/>
        <w:spacing w:line="587" w:lineRule="exact"/>
        <w:ind w:firstLine="640" w:firstLineChars="200"/>
        <w:jc w:val="left"/>
        <w:textAlignment w:val="auto"/>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2.公务接待费</w:t>
      </w:r>
      <w:r>
        <w:rPr>
          <w:rFonts w:hint="eastAsia" w:ascii="仿宋_GB2312" w:hAnsi="黑体" w:eastAsia="仿宋_GB2312"/>
          <w:bCs/>
          <w:color w:val="000000" w:themeColor="text1"/>
          <w:sz w:val="32"/>
          <w:szCs w:val="32"/>
          <w:lang w:val="en-US" w:eastAsia="zh-CN"/>
          <w14:textFill>
            <w14:solidFill>
              <w14:schemeClr w14:val="tx1"/>
            </w14:solidFill>
          </w14:textFill>
        </w:rPr>
        <w:t>0.012</w:t>
      </w:r>
      <w:r>
        <w:rPr>
          <w:rFonts w:hint="eastAsia" w:ascii="仿宋_GB2312" w:hAnsi="黑体" w:eastAsia="仿宋_GB2312"/>
          <w:bCs/>
          <w:color w:val="000000" w:themeColor="text1"/>
          <w:sz w:val="32"/>
          <w:szCs w:val="32"/>
          <w14:textFill>
            <w14:solidFill>
              <w14:schemeClr w14:val="tx1"/>
            </w14:solidFill>
          </w14:textFill>
        </w:rPr>
        <w:t>万元,</w:t>
      </w:r>
      <w:r>
        <w:rPr>
          <w:rFonts w:hint="eastAsia" w:ascii="仿宋_GB2312" w:hAnsi="黑体" w:eastAsia="仿宋_GB2312"/>
          <w:bCs/>
          <w:color w:val="000000" w:themeColor="text1"/>
          <w:sz w:val="32"/>
          <w:szCs w:val="32"/>
          <w:lang w:eastAsia="zh-CN"/>
          <w14:textFill>
            <w14:solidFill>
              <w14:schemeClr w14:val="tx1"/>
            </w14:solidFill>
          </w14:textFill>
        </w:rPr>
        <w:t>与</w:t>
      </w:r>
      <w:r>
        <w:rPr>
          <w:rFonts w:hint="eastAsia" w:ascii="仿宋_GB2312" w:hAnsi="黑体" w:eastAsia="仿宋_GB2312"/>
          <w:bCs/>
          <w:color w:val="000000" w:themeColor="text1"/>
          <w:sz w:val="32"/>
          <w:szCs w:val="32"/>
          <w14:textFill>
            <w14:solidFill>
              <w14:schemeClr w14:val="tx1"/>
            </w14:solidFill>
          </w14:textFill>
        </w:rPr>
        <w:t>202</w:t>
      </w: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年预算</w:t>
      </w:r>
      <w:r>
        <w:rPr>
          <w:rFonts w:hint="eastAsia" w:ascii="仿宋_GB2312" w:hAnsi="黑体" w:eastAsia="仿宋_GB2312"/>
          <w:bCs/>
          <w:color w:val="000000" w:themeColor="text1"/>
          <w:sz w:val="32"/>
          <w:szCs w:val="32"/>
          <w:lang w:eastAsia="zh-CN"/>
          <w14:textFill>
            <w14:solidFill>
              <w14:schemeClr w14:val="tx1"/>
            </w14:solidFill>
          </w14:textFill>
        </w:rPr>
        <w:t>持平。</w:t>
      </w:r>
    </w:p>
    <w:p w14:paraId="69E43A08">
      <w:pPr>
        <w:keepLines w:val="0"/>
        <w:pageBreakBefore w:val="0"/>
        <w:widowControl w:val="0"/>
        <w:kinsoku/>
        <w:wordWrap/>
        <w:overflowPunct/>
        <w:topLinePunct w:val="0"/>
        <w:autoSpaceDE/>
        <w:autoSpaceDN/>
        <w:bidi w:val="0"/>
        <w:spacing w:line="587" w:lineRule="exact"/>
        <w:ind w:firstLine="640" w:firstLineChars="200"/>
        <w:jc w:val="left"/>
        <w:textAlignment w:val="auto"/>
        <w:rPr>
          <w:rFonts w:hint="eastAsia"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3.公务用车购置及运行维护费</w:t>
      </w:r>
      <w:r>
        <w:rPr>
          <w:rFonts w:hint="eastAsia" w:ascii="仿宋_GB2312" w:hAnsi="黑体" w:eastAsia="仿宋_GB2312"/>
          <w:bCs/>
          <w:color w:val="000000" w:themeColor="text1"/>
          <w:sz w:val="32"/>
          <w:szCs w:val="32"/>
          <w:lang w:val="en-US" w:eastAsia="zh-CN"/>
          <w14:textFill>
            <w14:solidFill>
              <w14:schemeClr w14:val="tx1"/>
            </w14:solidFill>
          </w14:textFill>
        </w:rPr>
        <w:t>0</w:t>
      </w:r>
      <w:r>
        <w:rPr>
          <w:rFonts w:hint="eastAsia" w:ascii="仿宋_GB2312" w:hAnsi="黑体" w:eastAsia="仿宋_GB2312"/>
          <w:bCs/>
          <w:color w:val="000000" w:themeColor="text1"/>
          <w:sz w:val="32"/>
          <w:szCs w:val="32"/>
          <w14:textFill>
            <w14:solidFill>
              <w14:schemeClr w14:val="tx1"/>
            </w14:solidFill>
          </w14:textFill>
        </w:rPr>
        <w:t>万元</w:t>
      </w:r>
      <w:r>
        <w:rPr>
          <w:rFonts w:hint="eastAsia" w:ascii="仿宋_GB2312" w:hAnsi="黑体" w:eastAsia="仿宋_GB2312"/>
          <w:bCs/>
          <w:color w:val="000000" w:themeColor="text1"/>
          <w:sz w:val="32"/>
          <w:szCs w:val="32"/>
          <w:lang w:eastAsia="zh-CN"/>
          <w14:textFill>
            <w14:solidFill>
              <w14:schemeClr w14:val="tx1"/>
            </w14:solidFill>
          </w14:textFill>
        </w:rPr>
        <w:t>。</w:t>
      </w:r>
    </w:p>
    <w:p w14:paraId="226CF9FE">
      <w:pPr>
        <w:keepLines w:val="0"/>
        <w:pageBreakBefore w:val="0"/>
        <w:widowControl w:val="0"/>
        <w:kinsoku/>
        <w:wordWrap/>
        <w:overflowPunct/>
        <w:topLinePunct w:val="0"/>
        <w:autoSpaceDE/>
        <w:autoSpaceDN/>
        <w:bidi w:val="0"/>
        <w:spacing w:line="587" w:lineRule="exact"/>
        <w:ind w:firstLine="640" w:firstLineChars="200"/>
        <w:jc w:val="left"/>
        <w:textAlignment w:val="auto"/>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4</w:t>
      </w:r>
      <w:r>
        <w:rPr>
          <w:rFonts w:hint="eastAsia" w:ascii="仿宋_GB2312" w:hAnsi="黑体" w:eastAsia="仿宋_GB2312"/>
          <w:bCs/>
          <w:color w:val="000000" w:themeColor="text1"/>
          <w:sz w:val="32"/>
          <w:szCs w:val="32"/>
          <w14:textFill>
            <w14:solidFill>
              <w14:schemeClr w14:val="tx1"/>
            </w14:solidFill>
          </w14:textFill>
        </w:rPr>
        <w:t>.会议费</w:t>
      </w:r>
      <w:r>
        <w:rPr>
          <w:rFonts w:hint="eastAsia" w:ascii="仿宋_GB2312" w:hAnsi="黑体" w:eastAsia="仿宋_GB2312"/>
          <w:bCs/>
          <w:color w:val="000000" w:themeColor="text1"/>
          <w:sz w:val="32"/>
          <w:szCs w:val="32"/>
          <w:lang w:val="en-US" w:eastAsia="zh-CN"/>
          <w14:textFill>
            <w14:solidFill>
              <w14:schemeClr w14:val="tx1"/>
            </w14:solidFill>
          </w14:textFill>
        </w:rPr>
        <w:t>0</w:t>
      </w:r>
      <w:r>
        <w:rPr>
          <w:rFonts w:hint="eastAsia" w:ascii="仿宋_GB2312" w:hAnsi="黑体" w:eastAsia="仿宋_GB2312"/>
          <w:bCs/>
          <w:color w:val="000000" w:themeColor="text1"/>
          <w:sz w:val="32"/>
          <w:szCs w:val="32"/>
          <w14:textFill>
            <w14:solidFill>
              <w14:schemeClr w14:val="tx1"/>
            </w14:solidFill>
          </w14:textFill>
        </w:rPr>
        <w:t>万</w:t>
      </w:r>
      <w:r>
        <w:rPr>
          <w:rFonts w:hint="eastAsia" w:ascii="仿宋_GB2312" w:hAnsi="黑体" w:eastAsia="仿宋_GB2312"/>
          <w:bCs/>
          <w:color w:val="000000" w:themeColor="text1"/>
          <w:sz w:val="32"/>
          <w:szCs w:val="32"/>
          <w:lang w:eastAsia="zh-CN"/>
          <w14:textFill>
            <w14:solidFill>
              <w14:schemeClr w14:val="tx1"/>
            </w14:solidFill>
          </w14:textFill>
        </w:rPr>
        <w:t>元。</w:t>
      </w:r>
    </w:p>
    <w:p w14:paraId="4EF3632C">
      <w:pPr>
        <w:keepLines w:val="0"/>
        <w:pageBreakBefore w:val="0"/>
        <w:widowControl w:val="0"/>
        <w:kinsoku/>
        <w:wordWrap/>
        <w:overflowPunct/>
        <w:topLinePunct w:val="0"/>
        <w:autoSpaceDE/>
        <w:autoSpaceDN/>
        <w:bidi w:val="0"/>
        <w:spacing w:line="587"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（四）支出管理情况</w:t>
      </w:r>
    </w:p>
    <w:p w14:paraId="359CF756">
      <w:pPr>
        <w:keepLines w:val="0"/>
        <w:pageBreakBefore w:val="0"/>
        <w:widowControl w:val="0"/>
        <w:kinsoku/>
        <w:wordWrap/>
        <w:overflowPunct/>
        <w:topLinePunct w:val="0"/>
        <w:autoSpaceDE/>
        <w:autoSpaceDN/>
        <w:bidi w:val="0"/>
        <w:spacing w:line="587" w:lineRule="exact"/>
        <w:ind w:firstLine="640" w:firstLineChars="200"/>
        <w:jc w:val="left"/>
        <w:textAlignment w:val="auto"/>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202</w:t>
      </w: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年</w:t>
      </w:r>
      <w:r>
        <w:rPr>
          <w:rFonts w:hint="eastAsia" w:ascii="仿宋_GB2312" w:hAnsi="黑体" w:eastAsia="仿宋_GB2312"/>
          <w:bCs/>
          <w:color w:val="000000" w:themeColor="text1"/>
          <w:sz w:val="32"/>
          <w:szCs w:val="32"/>
          <w:lang w:eastAsia="zh-CN"/>
          <w14:textFill>
            <w14:solidFill>
              <w14:schemeClr w14:val="tx1"/>
            </w14:solidFill>
          </w14:textFill>
        </w:rPr>
        <w:t>决</w:t>
      </w:r>
      <w:r>
        <w:rPr>
          <w:rFonts w:hint="eastAsia" w:ascii="仿宋_GB2312" w:hAnsi="黑体" w:eastAsia="仿宋_GB2312"/>
          <w:bCs/>
          <w:color w:val="000000" w:themeColor="text1"/>
          <w:sz w:val="32"/>
          <w:szCs w:val="32"/>
          <w14:textFill>
            <w14:solidFill>
              <w14:schemeClr w14:val="tx1"/>
            </w14:solidFill>
          </w14:textFill>
        </w:rPr>
        <w:t>算</w:t>
      </w:r>
      <w:r>
        <w:rPr>
          <w:rFonts w:hint="eastAsia" w:ascii="仿宋_GB2312" w:hAnsi="黑体" w:eastAsia="仿宋_GB2312"/>
          <w:bCs/>
          <w:color w:val="000000" w:themeColor="text1"/>
          <w:sz w:val="32"/>
          <w:szCs w:val="32"/>
          <w:lang w:eastAsia="zh-CN"/>
          <w14:textFill>
            <w14:solidFill>
              <w14:schemeClr w14:val="tx1"/>
            </w14:solidFill>
          </w14:textFill>
        </w:rPr>
        <w:t>支出</w:t>
      </w:r>
      <w:r>
        <w:rPr>
          <w:rFonts w:hint="eastAsia" w:ascii="仿宋_GB2312" w:hAnsi="黑体" w:eastAsia="仿宋_GB2312"/>
          <w:bCs/>
          <w:color w:val="000000" w:themeColor="text1"/>
          <w:sz w:val="32"/>
          <w:szCs w:val="32"/>
          <w:lang w:val="en-US" w:eastAsia="zh-CN"/>
          <w14:textFill>
            <w14:solidFill>
              <w14:schemeClr w14:val="tx1"/>
            </w14:solidFill>
          </w14:textFill>
        </w:rPr>
        <w:t>313.03万元</w:t>
      </w:r>
      <w:r>
        <w:rPr>
          <w:rFonts w:hint="eastAsia" w:ascii="仿宋_GB2312" w:hAnsi="黑体" w:eastAsia="仿宋_GB2312"/>
          <w:bCs/>
          <w:color w:val="000000" w:themeColor="text1"/>
          <w:sz w:val="32"/>
          <w:szCs w:val="32"/>
          <w14:textFill>
            <w14:solidFill>
              <w14:schemeClr w14:val="tx1"/>
            </w14:solidFill>
          </w14:textFill>
        </w:rPr>
        <w:t>，无政府性基金</w:t>
      </w:r>
      <w:r>
        <w:rPr>
          <w:rFonts w:hint="eastAsia" w:ascii="仿宋_GB2312" w:hAnsi="黑体" w:eastAsia="仿宋_GB2312"/>
          <w:bCs/>
          <w:color w:val="000000" w:themeColor="text1"/>
          <w:sz w:val="32"/>
          <w:szCs w:val="32"/>
          <w:lang w:eastAsia="zh-CN"/>
          <w14:textFill>
            <w14:solidFill>
              <w14:schemeClr w14:val="tx1"/>
            </w14:solidFill>
          </w14:textFill>
        </w:rPr>
        <w:t>决</w:t>
      </w:r>
      <w:r>
        <w:rPr>
          <w:rFonts w:hint="eastAsia" w:ascii="仿宋_GB2312" w:hAnsi="黑体" w:eastAsia="仿宋_GB2312"/>
          <w:bCs/>
          <w:color w:val="000000" w:themeColor="text1"/>
          <w:sz w:val="32"/>
          <w:szCs w:val="32"/>
          <w14:textFill>
            <w14:solidFill>
              <w14:schemeClr w14:val="tx1"/>
            </w14:solidFill>
          </w14:textFill>
        </w:rPr>
        <w:t>算支出</w:t>
      </w:r>
      <w:r>
        <w:rPr>
          <w:rFonts w:hint="eastAsia" w:ascii="仿宋_GB2312" w:hAnsi="黑体" w:eastAsia="仿宋_GB2312"/>
          <w:bCs/>
          <w:color w:val="000000" w:themeColor="text1"/>
          <w:sz w:val="32"/>
          <w:szCs w:val="32"/>
          <w:lang w:eastAsia="zh-CN"/>
          <w14:textFill>
            <w14:solidFill>
              <w14:schemeClr w14:val="tx1"/>
            </w14:solidFill>
          </w14:textFill>
        </w:rPr>
        <w:t>。</w:t>
      </w:r>
    </w:p>
    <w:p w14:paraId="04BF43B9">
      <w:pPr>
        <w:keepLines w:val="0"/>
        <w:pageBreakBefore w:val="0"/>
        <w:widowControl w:val="0"/>
        <w:numPr>
          <w:ilvl w:val="0"/>
          <w:numId w:val="0"/>
        </w:numPr>
        <w:kinsoku/>
        <w:wordWrap/>
        <w:overflowPunct/>
        <w:topLinePunct w:val="0"/>
        <w:autoSpaceDE/>
        <w:autoSpaceDN/>
        <w:bidi w:val="0"/>
        <w:spacing w:line="587" w:lineRule="exact"/>
        <w:ind w:leftChars="200" w:firstLine="321" w:firstLineChars="100"/>
        <w:textAlignment w:val="auto"/>
        <w:rPr>
          <w:rFonts w:hint="eastAsia" w:ascii="仿宋_GB2312" w:eastAsia="仿宋_GB2312"/>
          <w:b/>
          <w:bCs/>
          <w:sz w:val="32"/>
          <w:szCs w:val="32"/>
        </w:rPr>
      </w:pPr>
      <w:r>
        <w:rPr>
          <w:rFonts w:hint="eastAsia" w:ascii="仿宋_GB2312" w:eastAsia="仿宋_GB2312"/>
          <w:b/>
          <w:bCs/>
          <w:sz w:val="32"/>
          <w:szCs w:val="32"/>
          <w:lang w:eastAsia="zh-CN"/>
        </w:rPr>
        <w:t>（五）</w:t>
      </w:r>
      <w:r>
        <w:rPr>
          <w:rFonts w:hint="eastAsia" w:ascii="仿宋_GB2312" w:eastAsia="仿宋_GB2312"/>
          <w:b/>
          <w:bCs/>
          <w:sz w:val="32"/>
          <w:szCs w:val="32"/>
        </w:rPr>
        <w:t>资产管理情况</w:t>
      </w:r>
    </w:p>
    <w:p w14:paraId="796A413E">
      <w:pPr>
        <w:keepLines w:val="0"/>
        <w:pageBreakBefore w:val="0"/>
        <w:widowControl w:val="0"/>
        <w:numPr>
          <w:ilvl w:val="0"/>
          <w:numId w:val="0"/>
        </w:numPr>
        <w:kinsoku/>
        <w:wordWrap/>
        <w:overflowPunct/>
        <w:topLinePunct w:val="0"/>
        <w:autoSpaceDE/>
        <w:autoSpaceDN/>
        <w:bidi w:val="0"/>
        <w:spacing w:line="587" w:lineRule="exact"/>
        <w:ind w:firstLine="640" w:firstLineChars="200"/>
        <w:textAlignment w:val="auto"/>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2023年12月资产总账为1000.545206万元，累计折旧268.650439万元，资产净值为731.894767万元，决算数据与资产系统数据一致。</w:t>
      </w:r>
    </w:p>
    <w:p w14:paraId="0ACBCE15">
      <w:pPr>
        <w:keepLines w:val="0"/>
        <w:pageBreakBefore w:val="0"/>
        <w:widowControl w:val="0"/>
        <w:numPr>
          <w:ilvl w:val="0"/>
          <w:numId w:val="2"/>
        </w:numPr>
        <w:kinsoku/>
        <w:wordWrap/>
        <w:overflowPunct/>
        <w:topLinePunct w:val="0"/>
        <w:autoSpaceDE/>
        <w:autoSpaceDN/>
        <w:bidi w:val="0"/>
        <w:spacing w:line="587" w:lineRule="exact"/>
        <w:ind w:firstLine="640" w:firstLineChars="200"/>
        <w:textAlignment w:val="auto"/>
        <w:rPr>
          <w:rFonts w:hint="default" w:ascii="仿宋_GB2312" w:eastAsia="仿宋_GB2312"/>
          <w:b w:val="0"/>
          <w:bCs w:val="0"/>
          <w:sz w:val="32"/>
          <w:szCs w:val="32"/>
          <w:lang w:val="en-US" w:eastAsia="zh-CN"/>
        </w:rPr>
      </w:pPr>
      <w:r>
        <w:rPr>
          <w:rFonts w:hint="eastAsia" w:ascii="黑体" w:hAnsi="黑体" w:eastAsia="黑体"/>
          <w:sz w:val="32"/>
          <w:szCs w:val="32"/>
        </w:rPr>
        <w:t>整体支出绩效情况</w:t>
      </w:r>
    </w:p>
    <w:p w14:paraId="421A45D9">
      <w:pPr>
        <w:keepLines w:val="0"/>
        <w:pageBreakBefore w:val="0"/>
        <w:widowControl w:val="0"/>
        <w:numPr>
          <w:ilvl w:val="0"/>
          <w:numId w:val="0"/>
        </w:numPr>
        <w:kinsoku/>
        <w:wordWrap/>
        <w:overflowPunct/>
        <w:topLinePunct w:val="0"/>
        <w:autoSpaceDE/>
        <w:autoSpaceDN/>
        <w:bidi w:val="0"/>
        <w:spacing w:line="587" w:lineRule="exact"/>
        <w:ind w:left="638" w:leftChars="304" w:firstLine="0" w:firstLineChars="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2023年圆满完成本年的整体绩效目标。</w:t>
      </w:r>
    </w:p>
    <w:p w14:paraId="1BF92114">
      <w:pPr>
        <w:keepLines w:val="0"/>
        <w:pageBreakBefore w:val="0"/>
        <w:widowControl w:val="0"/>
        <w:numPr>
          <w:ilvl w:val="0"/>
          <w:numId w:val="0"/>
        </w:numPr>
        <w:kinsoku/>
        <w:wordWrap/>
        <w:overflowPunct/>
        <w:topLinePunct w:val="0"/>
        <w:autoSpaceDE/>
        <w:autoSpaceDN/>
        <w:bidi w:val="0"/>
        <w:spacing w:line="587" w:lineRule="exact"/>
        <w:ind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经济效益：本年度决算收入和决算支出数据一致，保证党校各项事务有效、有序进行，圆满完成年初预算绩效目标。</w:t>
      </w:r>
    </w:p>
    <w:p w14:paraId="5F957076">
      <w:pPr>
        <w:keepLines w:val="0"/>
        <w:pageBreakBefore w:val="0"/>
        <w:widowControl w:val="0"/>
        <w:numPr>
          <w:ilvl w:val="0"/>
          <w:numId w:val="0"/>
        </w:numPr>
        <w:kinsoku/>
        <w:wordWrap/>
        <w:overflowPunct/>
        <w:topLinePunct w:val="0"/>
        <w:autoSpaceDE/>
        <w:autoSpaceDN/>
        <w:bidi w:val="0"/>
        <w:spacing w:line="587" w:lineRule="exact"/>
        <w:ind w:firstLine="640" w:firstLineChars="200"/>
        <w:textAlignment w:val="auto"/>
        <w:rPr>
          <w:rFonts w:hint="eastAsia" w:ascii="仿宋_GB2312" w:eastAsia="仿宋_GB2312"/>
          <w:kern w:val="0"/>
          <w:sz w:val="32"/>
          <w:szCs w:val="32"/>
          <w:lang w:eastAsia="zh-CN"/>
        </w:rPr>
      </w:pPr>
      <w:r>
        <w:rPr>
          <w:rFonts w:hint="eastAsia" w:ascii="仿宋_GB2312" w:eastAsia="仿宋_GB2312"/>
          <w:b w:val="0"/>
          <w:bCs w:val="0"/>
          <w:sz w:val="32"/>
          <w:szCs w:val="32"/>
          <w:lang w:val="en-US" w:eastAsia="zh-CN"/>
        </w:rPr>
        <w:t>社会效益：</w:t>
      </w:r>
      <w:r>
        <w:rPr>
          <w:rFonts w:hint="eastAsia" w:ascii="仿宋_GB2312" w:eastAsia="仿宋_GB2312"/>
          <w:sz w:val="32"/>
          <w:szCs w:val="32"/>
          <w:lang w:val="en-US" w:eastAsia="zh-CN"/>
        </w:rPr>
        <w:t>对培训班的设置、办班人数，党校都严格按照县委批复的主体班次设置要求进行。对新增的各类培训，及时向县委组织部报告，并转报县财政局备案，做到培训有计划、有步骤进行，全年共举办</w:t>
      </w:r>
      <w:r>
        <w:rPr>
          <w:rFonts w:hint="eastAsia" w:ascii="仿宋_GB2312" w:eastAsia="仿宋_GB2312"/>
          <w:kern w:val="0"/>
          <w:sz w:val="32"/>
          <w:szCs w:val="32"/>
        </w:rPr>
        <w:t>主体班次</w:t>
      </w:r>
      <w:r>
        <w:rPr>
          <w:rFonts w:hint="eastAsia" w:ascii="仿宋_GB2312" w:eastAsia="仿宋_GB2312"/>
          <w:kern w:val="0"/>
          <w:sz w:val="32"/>
          <w:szCs w:val="32"/>
          <w:lang w:val="en-US" w:eastAsia="zh-CN"/>
        </w:rPr>
        <w:t>14次18</w:t>
      </w:r>
      <w:r>
        <w:rPr>
          <w:rFonts w:hint="eastAsia" w:ascii="仿宋_GB2312" w:eastAsia="仿宋_GB2312"/>
          <w:kern w:val="0"/>
          <w:sz w:val="32"/>
          <w:szCs w:val="32"/>
        </w:rPr>
        <w:t>期，共培训党员干部</w:t>
      </w:r>
      <w:r>
        <w:rPr>
          <w:rFonts w:hint="eastAsia" w:ascii="仿宋_GB2312" w:eastAsia="仿宋_GB2312"/>
          <w:sz w:val="32"/>
          <w:szCs w:val="32"/>
          <w:lang w:val="en-US" w:eastAsia="zh-CN"/>
        </w:rPr>
        <w:t>3000</w:t>
      </w:r>
      <w:r>
        <w:rPr>
          <w:rFonts w:hint="eastAsia" w:ascii="仿宋_GB2312" w:eastAsia="仿宋_GB2312"/>
          <w:kern w:val="0"/>
          <w:sz w:val="32"/>
          <w:szCs w:val="32"/>
        </w:rPr>
        <w:t>多人次</w:t>
      </w:r>
      <w:r>
        <w:rPr>
          <w:rFonts w:hint="eastAsia" w:ascii="仿宋_GB2312" w:eastAsia="仿宋_GB2312"/>
          <w:kern w:val="0"/>
          <w:sz w:val="32"/>
          <w:szCs w:val="32"/>
          <w:lang w:eastAsia="zh-CN"/>
        </w:rPr>
        <w:t>，配合县人大、县政协、县委统战部等部门单位开展部门班次培训8期900余人次，赴外培训12期600余人次；协助县公安局、位奇镇等单位开展干部夜校6期培训干部500余人次。组织收看全省“富民兴陇”讲座4期，培训党员干部400余人次。高标准承办了全国村党组织书记和村委会主任视频培训班（山丹分课堂），全力以赴做好组织管理、交流研讨、住宿就餐等培训服务工作，邀请县级党政领导14人、乡镇党委书记8人指导学习交流，开展交流研讨32场次，培训学员114人。严格落实培训经费的审核，支出流程，取得一定的社会效益。</w:t>
      </w:r>
    </w:p>
    <w:p w14:paraId="4E2ED43F">
      <w:pPr>
        <w:keepLines w:val="0"/>
        <w:pageBreakBefore w:val="0"/>
        <w:widowControl w:val="0"/>
        <w:numPr>
          <w:ilvl w:val="0"/>
          <w:numId w:val="0"/>
        </w:numPr>
        <w:kinsoku/>
        <w:wordWrap/>
        <w:overflowPunct/>
        <w:topLinePunct w:val="0"/>
        <w:autoSpaceDE/>
        <w:autoSpaceDN/>
        <w:bidi w:val="0"/>
        <w:spacing w:line="587" w:lineRule="exact"/>
        <w:ind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生态效益：学校坚持生态校园的打造，营造书香校园、温馨校园氛围，既体现党政理论政策宣传的严谨性，又体现新时代党校的崭新面貌，助力打造领导干部满意的学习环境。</w:t>
      </w:r>
    </w:p>
    <w:p w14:paraId="180D8C87">
      <w:pPr>
        <w:keepLines w:val="0"/>
        <w:pageBreakBefore w:val="0"/>
        <w:widowControl w:val="0"/>
        <w:numPr>
          <w:ilvl w:val="0"/>
          <w:numId w:val="0"/>
        </w:numPr>
        <w:kinsoku/>
        <w:wordWrap/>
        <w:overflowPunct/>
        <w:topLinePunct w:val="0"/>
        <w:autoSpaceDE/>
        <w:autoSpaceDN/>
        <w:bidi w:val="0"/>
        <w:spacing w:line="587" w:lineRule="exact"/>
        <w:ind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可持续性影响：学校在</w:t>
      </w:r>
      <w:r>
        <w:rPr>
          <w:rFonts w:hint="eastAsia" w:ascii="仿宋_GB2312" w:eastAsia="仿宋_GB2312"/>
          <w:kern w:val="0"/>
          <w:sz w:val="32"/>
          <w:szCs w:val="32"/>
        </w:rPr>
        <w:t>干部教育培训上,坚持“依单下菜”、“按需定教”，每年</w:t>
      </w:r>
      <w:r>
        <w:rPr>
          <w:rFonts w:hint="eastAsia" w:ascii="仿宋_GB2312" w:eastAsia="仿宋_GB2312"/>
          <w:kern w:val="0"/>
          <w:sz w:val="32"/>
          <w:szCs w:val="32"/>
          <w:lang w:val="en-US" w:eastAsia="zh-CN"/>
        </w:rPr>
        <w:t>都按照</w:t>
      </w:r>
      <w:r>
        <w:rPr>
          <w:rFonts w:hint="eastAsia" w:ascii="仿宋_GB2312" w:eastAsia="仿宋_GB2312"/>
          <w:kern w:val="0"/>
          <w:sz w:val="32"/>
          <w:szCs w:val="32"/>
        </w:rPr>
        <w:t>县委常委会审定</w:t>
      </w:r>
      <w:r>
        <w:rPr>
          <w:rFonts w:hint="eastAsia" w:ascii="仿宋_GB2312" w:eastAsia="仿宋_GB2312"/>
          <w:kern w:val="0"/>
          <w:sz w:val="32"/>
          <w:szCs w:val="32"/>
          <w:lang w:eastAsia="zh-CN"/>
        </w:rPr>
        <w:t>的</w:t>
      </w:r>
      <w:r>
        <w:rPr>
          <w:rFonts w:hint="eastAsia" w:ascii="仿宋_GB2312" w:eastAsia="仿宋_GB2312"/>
          <w:kern w:val="0"/>
          <w:sz w:val="32"/>
          <w:szCs w:val="32"/>
        </w:rPr>
        <w:t>干部教育主体培训班</w:t>
      </w:r>
      <w:r>
        <w:rPr>
          <w:rFonts w:hint="eastAsia" w:ascii="仿宋_GB2312" w:eastAsia="仿宋_GB2312"/>
          <w:kern w:val="0"/>
          <w:sz w:val="32"/>
          <w:szCs w:val="32"/>
          <w:lang w:val="en-US" w:eastAsia="zh-CN"/>
        </w:rPr>
        <w:t>次计划，</w:t>
      </w:r>
      <w:r>
        <w:rPr>
          <w:rFonts w:hint="eastAsia" w:ascii="仿宋_GB2312" w:eastAsia="仿宋_GB2312"/>
          <w:kern w:val="0"/>
          <w:sz w:val="32"/>
          <w:szCs w:val="32"/>
        </w:rPr>
        <w:t>积极承担县委宣讲团工作任务，积极开展面向基层、面向群众的“进机关、进学校、进企业、进农村、进社区、进网络”理论宣讲，使培训教育的覆盖面进一步扩大</w:t>
      </w:r>
      <w:r>
        <w:rPr>
          <w:rFonts w:hint="eastAsia" w:ascii="仿宋_GB2312" w:eastAsia="仿宋_GB2312"/>
          <w:kern w:val="0"/>
          <w:sz w:val="32"/>
          <w:szCs w:val="32"/>
          <w:lang w:eastAsia="zh-CN"/>
        </w:rPr>
        <w:t>，逐步完善党校的培训机制。</w:t>
      </w:r>
    </w:p>
    <w:p w14:paraId="431E2C80">
      <w:pPr>
        <w:keepLines w:val="0"/>
        <w:pageBreakBefore w:val="0"/>
        <w:widowControl w:val="0"/>
        <w:numPr>
          <w:ilvl w:val="0"/>
          <w:numId w:val="0"/>
        </w:numPr>
        <w:kinsoku/>
        <w:wordWrap/>
        <w:overflowPunct/>
        <w:topLinePunct w:val="0"/>
        <w:autoSpaceDE/>
        <w:autoSpaceDN/>
        <w:bidi w:val="0"/>
        <w:spacing w:line="587" w:lineRule="exact"/>
        <w:ind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服务对象满意度方面：在教学、培训各项业务活动组织进行过程中，各方面尽量考虑周全，为服务对象提供所需求的服务，参训学员满意度较高。</w:t>
      </w:r>
    </w:p>
    <w:p w14:paraId="4A0DD738">
      <w:pPr>
        <w:keepLines w:val="0"/>
        <w:pageBreakBefore w:val="0"/>
        <w:widowControl w:val="0"/>
        <w:numPr>
          <w:ilvl w:val="0"/>
          <w:numId w:val="0"/>
        </w:numPr>
        <w:kinsoku/>
        <w:wordWrap/>
        <w:overflowPunct/>
        <w:topLinePunct w:val="0"/>
        <w:autoSpaceDE/>
        <w:autoSpaceDN/>
        <w:bidi w:val="0"/>
        <w:spacing w:line="587"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四、存在的问题</w:t>
      </w:r>
    </w:p>
    <w:p w14:paraId="22E1D4A1">
      <w:pPr>
        <w:keepLines w:val="0"/>
        <w:pageBreakBefore w:val="0"/>
        <w:widowControl w:val="0"/>
        <w:numPr>
          <w:ilvl w:val="0"/>
          <w:numId w:val="0"/>
        </w:numPr>
        <w:kinsoku/>
        <w:wordWrap/>
        <w:overflowPunct/>
        <w:topLinePunct w:val="0"/>
        <w:autoSpaceDE/>
        <w:autoSpaceDN/>
        <w:bidi w:val="0"/>
        <w:spacing w:line="587" w:lineRule="exact"/>
        <w:ind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1.预算编制工作有待细化、强化。对每一项开支要做到心中有数，不能笼统计划，使每一笔资金都做到合理、有序支出。</w:t>
      </w:r>
    </w:p>
    <w:p w14:paraId="08571CB6">
      <w:pPr>
        <w:keepLines w:val="0"/>
        <w:pageBreakBefore w:val="0"/>
        <w:widowControl w:val="0"/>
        <w:numPr>
          <w:ilvl w:val="0"/>
          <w:numId w:val="0"/>
        </w:numPr>
        <w:kinsoku/>
        <w:wordWrap/>
        <w:overflowPunct/>
        <w:topLinePunct w:val="0"/>
        <w:autoSpaceDE/>
        <w:autoSpaceDN/>
        <w:bidi w:val="0"/>
        <w:spacing w:line="587" w:lineRule="exact"/>
        <w:ind w:firstLine="640" w:firstLineChars="200"/>
        <w:textAlignment w:val="auto"/>
        <w:rPr>
          <w:rFonts w:hint="eastAsia" w:ascii="仿宋_GB2312" w:eastAsia="仿宋_GB2312"/>
          <w:b/>
          <w:bCs/>
          <w:sz w:val="32"/>
          <w:szCs w:val="32"/>
          <w:lang w:val="en-US" w:eastAsia="zh-CN"/>
        </w:rPr>
      </w:pPr>
      <w:r>
        <w:rPr>
          <w:rFonts w:hint="eastAsia" w:ascii="仿宋_GB2312" w:eastAsia="仿宋_GB2312"/>
          <w:b w:val="0"/>
          <w:bCs w:val="0"/>
          <w:sz w:val="32"/>
          <w:szCs w:val="32"/>
          <w:lang w:val="en-US" w:eastAsia="zh-CN"/>
        </w:rPr>
        <w:t>2.绩效考核指标有待标准化。缺乏完善的绩效评价体系，预算绩效问责与激励制度还没完全建立，绩效评价对于优化、促进预算管理的作用还没有得到充分体现。</w:t>
      </w:r>
      <w:r>
        <w:rPr>
          <w:rFonts w:hint="eastAsia" w:ascii="仿宋_GB2312" w:eastAsia="仿宋_GB2312"/>
          <w:b w:val="0"/>
          <w:bCs w:val="0"/>
          <w:sz w:val="32"/>
          <w:szCs w:val="32"/>
          <w:lang w:val="en-US" w:eastAsia="zh-CN"/>
        </w:rPr>
        <w:br w:type="textWrapping"/>
      </w:r>
      <w:r>
        <w:rPr>
          <w:rFonts w:hint="eastAsia" w:ascii="仿宋_GB2312" w:eastAsia="仿宋_GB2312"/>
          <w:b w:val="0"/>
          <w:bCs w:val="0"/>
          <w:sz w:val="32"/>
          <w:szCs w:val="32"/>
          <w:lang w:val="en-US" w:eastAsia="zh-CN"/>
        </w:rPr>
        <w:t xml:space="preserve">    3.制度建设有待进一步完善。要保证切实服务学校教育教学、科研管理工作，需进一步完善学校财务制度体系和绩效评价体系，使各项财务工作有章可循，为提升财务服务质量提供制度保障。</w:t>
      </w:r>
      <w:r>
        <w:rPr>
          <w:rFonts w:hint="eastAsia" w:ascii="仿宋_GB2312" w:eastAsia="仿宋_GB2312"/>
          <w:b w:val="0"/>
          <w:bCs w:val="0"/>
          <w:sz w:val="32"/>
          <w:szCs w:val="32"/>
          <w:lang w:val="en-US" w:eastAsia="zh-CN"/>
        </w:rPr>
        <w:br w:type="textWrapping"/>
      </w:r>
      <w:r>
        <w:rPr>
          <w:rFonts w:hint="eastAsia" w:ascii="仿宋_GB2312" w:eastAsia="仿宋_GB2312"/>
          <w:b w:val="0"/>
          <w:bCs w:val="0"/>
          <w:sz w:val="32"/>
          <w:szCs w:val="32"/>
          <w:lang w:val="en-US" w:eastAsia="zh-CN"/>
        </w:rPr>
        <w:t xml:space="preserve">     </w:t>
      </w:r>
      <w:r>
        <w:rPr>
          <w:rFonts w:hint="eastAsia" w:ascii="仿宋_GB2312" w:eastAsia="仿宋_GB2312"/>
          <w:b/>
          <w:bCs/>
          <w:sz w:val="32"/>
          <w:szCs w:val="32"/>
          <w:lang w:val="en-US" w:eastAsia="zh-CN"/>
        </w:rPr>
        <w:t>五、下一步改进工作的措施</w:t>
      </w:r>
    </w:p>
    <w:p w14:paraId="7C74EE6F">
      <w:pPr>
        <w:keepLines w:val="0"/>
        <w:pageBreakBefore w:val="0"/>
        <w:widowControl w:val="0"/>
        <w:numPr>
          <w:ilvl w:val="0"/>
          <w:numId w:val="0"/>
        </w:numPr>
        <w:kinsoku/>
        <w:wordWrap/>
        <w:overflowPunct/>
        <w:topLinePunct w:val="0"/>
        <w:autoSpaceDE/>
        <w:autoSpaceDN/>
        <w:bidi w:val="0"/>
        <w:spacing w:line="587" w:lineRule="exact"/>
        <w:ind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1.探索构建全面预算编制体系，改变“重申报轻执行”的现状。积极探索全面预算编制体系，加大对专项资金的统筹力度，有效解决预算编制的长远性、连续性、科学性，从而提高预算编制的精确度。</w:t>
      </w:r>
      <w:r>
        <w:rPr>
          <w:rFonts w:hint="eastAsia" w:ascii="仿宋_GB2312" w:eastAsia="仿宋_GB2312"/>
          <w:b w:val="0"/>
          <w:bCs w:val="0"/>
          <w:sz w:val="32"/>
          <w:szCs w:val="32"/>
          <w:lang w:val="en-US" w:eastAsia="zh-CN"/>
        </w:rPr>
        <w:br w:type="textWrapping"/>
      </w:r>
      <w:r>
        <w:rPr>
          <w:rFonts w:hint="eastAsia" w:ascii="仿宋_GB2312" w:eastAsia="仿宋_GB2312"/>
          <w:b w:val="0"/>
          <w:bCs w:val="0"/>
          <w:sz w:val="32"/>
          <w:szCs w:val="32"/>
          <w:lang w:val="en-US" w:eastAsia="zh-CN"/>
        </w:rPr>
        <w:t xml:space="preserve">    2.全面实施全面绩效评价体系，提升财务管理绩效。全面实施以绩效导向的全面预算评价体系，制定科学、完善、切合实际的考核项目和标准，强化对预算管理全过程的资金使用实施考核、评价，为单位领导的决策提供参考，促进党校事业健康发展。</w:t>
      </w:r>
      <w:r>
        <w:rPr>
          <w:rFonts w:hint="eastAsia" w:ascii="仿宋_GB2312" w:eastAsia="仿宋_GB2312"/>
          <w:b w:val="0"/>
          <w:bCs w:val="0"/>
          <w:sz w:val="32"/>
          <w:szCs w:val="32"/>
          <w:lang w:val="en-US" w:eastAsia="zh-CN"/>
        </w:rPr>
        <w:br w:type="textWrapping"/>
      </w:r>
      <w:r>
        <w:rPr>
          <w:rFonts w:hint="eastAsia" w:ascii="仿宋_GB2312" w:eastAsia="仿宋_GB2312"/>
          <w:b w:val="0"/>
          <w:bCs w:val="0"/>
          <w:sz w:val="32"/>
          <w:szCs w:val="32"/>
          <w:lang w:val="en-US" w:eastAsia="zh-CN"/>
        </w:rPr>
        <w:t xml:space="preserve">    3.进一步完善财务管理制度，推动党校长远持续发展，按照党校事业发展需要，在认真梳理现有财务管理制度的基础上，进一步建立或修订资金管理、支出、执行、考核等制度，提高党校财务管理水平。</w:t>
      </w:r>
    </w:p>
    <w:p w14:paraId="3A36DF95">
      <w:pPr>
        <w:keepLines w:val="0"/>
        <w:pageBreakBefore w:val="0"/>
        <w:widowControl w:val="0"/>
        <w:numPr>
          <w:ilvl w:val="0"/>
          <w:numId w:val="0"/>
        </w:numPr>
        <w:kinsoku/>
        <w:wordWrap/>
        <w:overflowPunct/>
        <w:topLinePunct w:val="0"/>
        <w:autoSpaceDE/>
        <w:autoSpaceDN/>
        <w:bidi w:val="0"/>
        <w:spacing w:line="587"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六、意见建议</w:t>
      </w:r>
    </w:p>
    <w:p w14:paraId="3CAF135C">
      <w:pPr>
        <w:keepLines w:val="0"/>
        <w:pageBreakBefore w:val="0"/>
        <w:widowControl w:val="0"/>
        <w:numPr>
          <w:ilvl w:val="0"/>
          <w:numId w:val="0"/>
        </w:numPr>
        <w:kinsoku/>
        <w:wordWrap/>
        <w:overflowPunct/>
        <w:topLinePunct w:val="0"/>
        <w:autoSpaceDE/>
        <w:autoSpaceDN/>
        <w:bidi w:val="0"/>
        <w:spacing w:line="587" w:lineRule="exact"/>
        <w:ind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无。</w:t>
      </w:r>
    </w:p>
    <w:p w14:paraId="04C71221">
      <w:pPr>
        <w:keepLines w:val="0"/>
        <w:pageBreakBefore w:val="0"/>
        <w:widowControl w:val="0"/>
        <w:numPr>
          <w:ilvl w:val="0"/>
          <w:numId w:val="0"/>
        </w:numPr>
        <w:kinsoku/>
        <w:wordWrap/>
        <w:overflowPunct/>
        <w:topLinePunct w:val="0"/>
        <w:autoSpaceDE/>
        <w:autoSpaceDN/>
        <w:bidi w:val="0"/>
        <w:spacing w:line="587" w:lineRule="exact"/>
        <w:ind w:firstLine="4800" w:firstLineChars="1500"/>
        <w:textAlignment w:val="auto"/>
        <w:rPr>
          <w:rFonts w:hint="eastAsia" w:ascii="仿宋_GB2312" w:eastAsia="仿宋_GB2312"/>
          <w:b w:val="0"/>
          <w:bCs w:val="0"/>
          <w:sz w:val="32"/>
          <w:szCs w:val="32"/>
          <w:lang w:val="en-US" w:eastAsia="zh-CN"/>
        </w:rPr>
      </w:pPr>
    </w:p>
    <w:p w14:paraId="1A5C06AD">
      <w:pPr>
        <w:keepLines w:val="0"/>
        <w:pageBreakBefore w:val="0"/>
        <w:widowControl w:val="0"/>
        <w:numPr>
          <w:ilvl w:val="0"/>
          <w:numId w:val="0"/>
        </w:numPr>
        <w:kinsoku/>
        <w:wordWrap/>
        <w:overflowPunct/>
        <w:topLinePunct w:val="0"/>
        <w:autoSpaceDE/>
        <w:autoSpaceDN/>
        <w:bidi w:val="0"/>
        <w:spacing w:line="587" w:lineRule="exact"/>
        <w:ind w:firstLine="4800" w:firstLineChars="1500"/>
        <w:textAlignment w:val="auto"/>
        <w:rPr>
          <w:rFonts w:hint="eastAsia" w:ascii="仿宋_GB2312" w:eastAsia="仿宋_GB2312"/>
          <w:b w:val="0"/>
          <w:bCs w:val="0"/>
          <w:sz w:val="32"/>
          <w:szCs w:val="32"/>
          <w:lang w:val="en-US" w:eastAsia="zh-CN"/>
        </w:rPr>
      </w:pPr>
    </w:p>
    <w:p w14:paraId="14132FA0">
      <w:pPr>
        <w:keepLines w:val="0"/>
        <w:pageBreakBefore w:val="0"/>
        <w:widowControl w:val="0"/>
        <w:numPr>
          <w:ilvl w:val="0"/>
          <w:numId w:val="0"/>
        </w:numPr>
        <w:kinsoku/>
        <w:wordWrap/>
        <w:overflowPunct/>
        <w:topLinePunct w:val="0"/>
        <w:autoSpaceDE/>
        <w:autoSpaceDN/>
        <w:bidi w:val="0"/>
        <w:spacing w:line="587" w:lineRule="exact"/>
        <w:ind w:firstLine="4800" w:firstLineChars="15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2023年12月21日</w:t>
      </w:r>
    </w:p>
    <w:p w14:paraId="2A6FA005">
      <w:pPr>
        <w:keepLines w:val="0"/>
        <w:pageBreakBefore w:val="0"/>
        <w:widowControl w:val="0"/>
        <w:numPr>
          <w:ilvl w:val="0"/>
          <w:numId w:val="0"/>
        </w:numPr>
        <w:kinsoku/>
        <w:wordWrap/>
        <w:overflowPunct/>
        <w:topLinePunct w:val="0"/>
        <w:autoSpaceDE/>
        <w:autoSpaceDN/>
        <w:bidi w:val="0"/>
        <w:spacing w:line="587" w:lineRule="exact"/>
        <w:ind w:firstLine="4800" w:firstLineChars="1500"/>
        <w:textAlignment w:val="auto"/>
        <w:rPr>
          <w:rFonts w:hint="default"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中共山丹县委党校</w:t>
      </w:r>
    </w:p>
    <w:sectPr>
      <w:footerReference r:id="rId3" w:type="default"/>
      <w:pgSz w:w="11906" w:h="16838"/>
      <w:pgMar w:top="2098" w:right="1474" w:bottom="181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C3FB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C2219">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6C2219">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BB2550"/>
    <w:multiLevelType w:val="singleLevel"/>
    <w:tmpl w:val="F5BB2550"/>
    <w:lvl w:ilvl="0" w:tentative="0">
      <w:start w:val="2"/>
      <w:numFmt w:val="chineseCounting"/>
      <w:suff w:val="nothing"/>
      <w:lvlText w:val="（%1）"/>
      <w:lvlJc w:val="left"/>
      <w:rPr>
        <w:rFonts w:hint="eastAsia"/>
      </w:rPr>
    </w:lvl>
  </w:abstractNum>
  <w:abstractNum w:abstractNumId="1">
    <w:nsid w:val="5D6EAC89"/>
    <w:multiLevelType w:val="singleLevel"/>
    <w:tmpl w:val="5D6EAC89"/>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3ZTNlNzQyOGY3MDdjZDcwYTFhMzI0M2Q1Y2FlN2MifQ=="/>
  </w:docVars>
  <w:rsids>
    <w:rsidRoot w:val="42C71578"/>
    <w:rsid w:val="00194BCB"/>
    <w:rsid w:val="004857A1"/>
    <w:rsid w:val="007D09B9"/>
    <w:rsid w:val="00897FD8"/>
    <w:rsid w:val="00AC4864"/>
    <w:rsid w:val="00C44682"/>
    <w:rsid w:val="00CB2C4F"/>
    <w:rsid w:val="00E04AF3"/>
    <w:rsid w:val="00ED4999"/>
    <w:rsid w:val="00EE167A"/>
    <w:rsid w:val="0C675732"/>
    <w:rsid w:val="0FB16F5B"/>
    <w:rsid w:val="10DF1776"/>
    <w:rsid w:val="14D17667"/>
    <w:rsid w:val="17DA1249"/>
    <w:rsid w:val="1B8B1502"/>
    <w:rsid w:val="1DB55626"/>
    <w:rsid w:val="2818512F"/>
    <w:rsid w:val="2D8701C6"/>
    <w:rsid w:val="2DA52341"/>
    <w:rsid w:val="2EAA249B"/>
    <w:rsid w:val="30E16A06"/>
    <w:rsid w:val="375D490D"/>
    <w:rsid w:val="39900FC9"/>
    <w:rsid w:val="42C71578"/>
    <w:rsid w:val="4CC95F03"/>
    <w:rsid w:val="5A870015"/>
    <w:rsid w:val="5FB4065C"/>
    <w:rsid w:val="607466A0"/>
    <w:rsid w:val="666933D5"/>
    <w:rsid w:val="6EA73235"/>
    <w:rsid w:val="72572E1B"/>
    <w:rsid w:val="77073972"/>
    <w:rsid w:val="77132998"/>
    <w:rsid w:val="78F9177F"/>
    <w:rsid w:val="79A02008"/>
    <w:rsid w:val="7BDF61E9"/>
    <w:rsid w:val="ED5FD0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autoRedefine/>
    <w:qFormat/>
    <w:uiPriority w:val="0"/>
    <w:rPr>
      <w:rFonts w:ascii="Calibri"/>
      <w:kern w:val="2"/>
      <w:sz w:val="18"/>
      <w:szCs w:val="18"/>
    </w:rPr>
  </w:style>
  <w:style w:type="character" w:customStyle="1" w:styleId="9">
    <w:name w:val="页脚 Char"/>
    <w:basedOn w:val="7"/>
    <w:link w:val="3"/>
    <w:autoRedefine/>
    <w:qFormat/>
    <w:uiPriority w:val="0"/>
    <w:rPr>
      <w:rFonts w:asci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2168</Words>
  <Characters>2336</Characters>
  <Lines>3</Lines>
  <Paragraphs>1</Paragraphs>
  <TotalTime>200</TotalTime>
  <ScaleCrop>false</ScaleCrop>
  <LinksUpToDate>false</LinksUpToDate>
  <CharactersWithSpaces>2353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2018-03-23T10:40:00Z</dcterms:created>
  <dc:creator>散步的鱼</dc:creator>
  <cp:lastModifiedBy>残梦</cp:lastModifiedBy>
  <cp:lastPrinted>2023-12-21T11:44:00Z</cp:lastPrinted>
  <dcterms:modified xsi:type="dcterms:W3CDTF">2025-06-03T07:19:40Z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C991F78F5A32483785D37DD26857711D_13</vt:lpwstr>
  </property>
  <property fmtid="{D5CDD505-2E9C-101B-9397-08002B2CF9AE}" pid="4" name="KSOTemplateDocerSaveRecord">
    <vt:lpwstr>eyJoZGlkIjoiYjg2YWJkM2Y5YjczYzA0NWI4ZDg0NDAwMzZiYWU5ZGQiLCJ1c2VySWQiOiIxNTMyNjIzNDg3In0=</vt:lpwstr>
  </property>
</Properties>
</file>