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6C05B5E">
      <w:pPr>
        <w:jc w:val="left"/>
        <w:rPr>
          <w:rFonts w:ascii="黑体" w:hAnsi="黑体" w:eastAsia="黑体"/>
          <w:sz w:val="28"/>
          <w:szCs w:val="28"/>
        </w:rPr>
      </w:pPr>
      <w:r>
        <w:rPr>
          <w:rFonts w:hint="eastAsia" w:ascii="黑体" w:hAnsi="黑体" w:eastAsia="黑体"/>
          <w:sz w:val="28"/>
          <w:szCs w:val="28"/>
        </w:rPr>
        <w:t>附件3</w:t>
      </w:r>
    </w:p>
    <w:p w14:paraId="15AF059C">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山丹县人民政府办公室</w:t>
      </w:r>
    </w:p>
    <w:p w14:paraId="08D6939B">
      <w:pPr>
        <w:spacing w:line="580" w:lineRule="exact"/>
        <w:jc w:val="center"/>
        <w:rPr>
          <w:rFonts w:ascii="方正小标宋简体" w:eastAsia="方正小标宋简体"/>
          <w:sz w:val="44"/>
          <w:szCs w:val="44"/>
        </w:rPr>
      </w:pPr>
      <w:r>
        <w:rPr>
          <w:rFonts w:ascii="方正小标宋简体" w:hAnsi="方正小标宋简体" w:eastAsia="方正小标宋简体" w:cs="方正小标宋简体"/>
          <w:sz w:val="44"/>
          <w:szCs w:val="44"/>
        </w:rPr>
        <w:t>关于</w:t>
      </w:r>
      <w:r>
        <w:rPr>
          <w:rFonts w:hint="eastAsia" w:ascii="方正小标宋简体" w:eastAsia="方正小标宋简体"/>
          <w:sz w:val="44"/>
          <w:szCs w:val="44"/>
        </w:rPr>
        <w:t>项目支出</w:t>
      </w:r>
      <w:r>
        <w:rPr>
          <w:rFonts w:ascii="方正小标宋简体" w:eastAsia="方正小标宋简体"/>
          <w:sz w:val="44"/>
          <w:szCs w:val="44"/>
        </w:rPr>
        <w:t>的</w:t>
      </w:r>
      <w:r>
        <w:rPr>
          <w:rFonts w:hint="eastAsia" w:ascii="方正小标宋简体" w:eastAsia="方正小标宋简体"/>
          <w:sz w:val="44"/>
          <w:szCs w:val="44"/>
        </w:rPr>
        <w:t>绩效自评报告</w:t>
      </w:r>
    </w:p>
    <w:p w14:paraId="3C73C3D2">
      <w:pPr>
        <w:spacing w:line="580" w:lineRule="exact"/>
        <w:rPr>
          <w:rFonts w:ascii="方正小标宋简体" w:eastAsia="方正小标宋简体"/>
          <w:sz w:val="44"/>
          <w:szCs w:val="44"/>
        </w:rPr>
      </w:pPr>
    </w:p>
    <w:p w14:paraId="4571615C">
      <w:pPr>
        <w:spacing w:line="580" w:lineRule="exact"/>
        <w:ind w:firstLine="640"/>
        <w:rPr>
          <w:rFonts w:ascii="Times New Roman" w:eastAsia="楷体_GB2312"/>
          <w:sz w:val="32"/>
          <w:szCs w:val="32"/>
        </w:rPr>
      </w:pPr>
      <w:r>
        <w:rPr>
          <w:rFonts w:ascii="仿宋_GB2312" w:hAnsi="仿宋_GB2312" w:eastAsia="仿宋_GB2312" w:cs="仿宋_GB2312"/>
          <w:sz w:val="32"/>
          <w:szCs w:val="32"/>
        </w:rPr>
        <w:t>根据《</w:t>
      </w:r>
      <w:r>
        <w:rPr>
          <w:rFonts w:hint="eastAsia" w:ascii="仿宋_GB2312" w:hAnsi="仿宋_GB2312" w:eastAsia="仿宋_GB2312" w:cs="仿宋_GB2312"/>
          <w:sz w:val="32"/>
          <w:szCs w:val="32"/>
        </w:rPr>
        <w:t>山丹县财政局</w:t>
      </w:r>
      <w:r>
        <w:rPr>
          <w:rFonts w:ascii="仿宋_GB2312" w:hAnsi="仿宋_GB2312" w:eastAsia="仿宋_GB2312" w:cs="仿宋_GB2312"/>
          <w:sz w:val="32"/>
          <w:szCs w:val="32"/>
        </w:rPr>
        <w:t>关于开展2023年度预算绩效考核工作的通知》</w:t>
      </w:r>
      <w:r>
        <w:rPr>
          <w:rFonts w:hint="eastAsia" w:ascii="仿宋_GB2312" w:hAnsi="仿宋_GB2312" w:eastAsia="仿宋_GB2312" w:cs="仿宋_GB2312"/>
          <w:sz w:val="32"/>
          <w:szCs w:val="32"/>
        </w:rPr>
        <w:t>要求，现将山丹县</w:t>
      </w:r>
      <w:r>
        <w:rPr>
          <w:rFonts w:ascii="仿宋_GB2312" w:hAnsi="仿宋_GB2312" w:eastAsia="仿宋_GB2312" w:cs="仿宋_GB2312"/>
          <w:sz w:val="32"/>
          <w:szCs w:val="32"/>
        </w:rPr>
        <w:t>人民政府办公室项目支出</w:t>
      </w:r>
      <w:r>
        <w:rPr>
          <w:rFonts w:hint="eastAsia" w:ascii="仿宋_GB2312" w:hAnsi="仿宋_GB2312" w:eastAsia="仿宋_GB2312" w:cs="仿宋_GB2312"/>
          <w:sz w:val="32"/>
          <w:szCs w:val="32"/>
        </w:rPr>
        <w:t>绩效自评情况报告如下：</w:t>
      </w:r>
    </w:p>
    <w:p w14:paraId="6237749D">
      <w:pPr>
        <w:spacing w:line="580" w:lineRule="exact"/>
        <w:ind w:firstLine="640"/>
        <w:rPr>
          <w:rFonts w:eastAsia="黑体"/>
          <w:sz w:val="32"/>
          <w:szCs w:val="32"/>
        </w:rPr>
      </w:pPr>
      <w:r>
        <w:rPr>
          <w:rFonts w:hint="eastAsia" w:eastAsia="黑体"/>
          <w:sz w:val="32"/>
          <w:szCs w:val="32"/>
        </w:rPr>
        <w:t>一、项目基本情况</w:t>
      </w:r>
    </w:p>
    <w:p w14:paraId="4370350A">
      <w:pPr>
        <w:spacing w:line="580" w:lineRule="exact"/>
        <w:ind w:firstLine="643"/>
        <w:rPr>
          <w:rFonts w:ascii="楷体_GB2312" w:eastAsia="楷体_GB2312"/>
          <w:b/>
          <w:sz w:val="32"/>
          <w:szCs w:val="32"/>
        </w:rPr>
      </w:pPr>
      <w:r>
        <w:rPr>
          <w:rFonts w:hint="eastAsia" w:ascii="楷体_GB2312" w:eastAsia="楷体_GB2312"/>
          <w:b/>
          <w:sz w:val="32"/>
          <w:szCs w:val="32"/>
        </w:rPr>
        <w:t>（一）项目概况</w:t>
      </w:r>
    </w:p>
    <w:p w14:paraId="0DBFC74D">
      <w:pPr>
        <w:spacing w:line="580" w:lineRule="exact"/>
        <w:ind w:firstLine="640"/>
        <w:rPr>
          <w:rFonts w:ascii="仿宋_GB2312" w:eastAsia="仿宋_GB2312"/>
          <w:sz w:val="32"/>
          <w:szCs w:val="32"/>
        </w:rPr>
      </w:pPr>
      <w:r>
        <w:rPr>
          <w:rFonts w:ascii="仿宋_GB2312" w:eastAsia="仿宋_GB2312"/>
          <w:sz w:val="32"/>
          <w:szCs w:val="32"/>
        </w:rPr>
        <w:t>为全面落实党中央、国务院和省市关于做好2023年元旦春节期间有关工作的部署要求，县委、县政府决定，春节之前在全县范围内开展送温暖和慰问活动，根据《中共山丹县委办公室 山丹县人民政府办公室关于印发</w:t>
      </w:r>
      <w:r>
        <w:rPr>
          <w:rFonts w:hint="eastAsia" w:ascii="仿宋_GB2312" w:hAnsi="仿宋_GB2312" w:eastAsia="仿宋_GB2312" w:cs="仿宋_GB2312"/>
          <w:sz w:val="32"/>
          <w:szCs w:val="32"/>
        </w:rPr>
        <w:t>&lt;</w:t>
      </w:r>
      <w:r>
        <w:rPr>
          <w:rFonts w:ascii="仿宋_GB2312" w:hAnsi="仿宋_GB2312" w:eastAsia="仿宋_GB2312" w:cs="仿宋_GB2312"/>
          <w:sz w:val="32"/>
          <w:szCs w:val="32"/>
        </w:rPr>
        <w:t>2023年春节送温暖和慰问活动方案</w:t>
      </w:r>
      <w:r>
        <w:rPr>
          <w:rFonts w:hint="eastAsia" w:ascii="仿宋_GB2312" w:hAnsi="仿宋_GB2312" w:eastAsia="仿宋_GB2312" w:cs="仿宋_GB2312"/>
          <w:sz w:val="32"/>
          <w:szCs w:val="32"/>
        </w:rPr>
        <w:t>&gt;</w:t>
      </w:r>
      <w:r>
        <w:rPr>
          <w:rFonts w:ascii="仿宋_GB2312" w:hAnsi="仿宋_GB2312" w:eastAsia="仿宋_GB2312" w:cs="仿宋_GB2312"/>
          <w:sz w:val="32"/>
          <w:szCs w:val="32"/>
        </w:rPr>
        <w:t>的通知</w:t>
      </w:r>
      <w:r>
        <w:rPr>
          <w:rFonts w:ascii="仿宋_GB2312" w:eastAsia="仿宋_GB2312"/>
          <w:sz w:val="32"/>
          <w:szCs w:val="32"/>
        </w:rPr>
        <w:t>》要求，春节慰问经费由县财政统筹解决，县委办公室、县政府办公室组织实施，于2023年1月11日（腊月二十）</w:t>
      </w:r>
      <w:r>
        <w:rPr>
          <w:rFonts w:ascii="仿宋_GB2312" w:hAnsi="仿宋_GB2312" w:eastAsia="仿宋_GB2312" w:cs="仿宋_GB2312"/>
          <w:sz w:val="32"/>
          <w:szCs w:val="32"/>
        </w:rPr>
        <w:t>—</w:t>
      </w:r>
      <w:r>
        <w:rPr>
          <w:rFonts w:ascii="仿宋_GB2312" w:eastAsia="仿宋_GB2312"/>
          <w:sz w:val="32"/>
          <w:szCs w:val="32"/>
        </w:rPr>
        <w:t>1月21日（腊月三十）慰问春节期间坚守工作岗位的27个单位，标准1000元／个，慰问金2.7万元。</w:t>
      </w:r>
    </w:p>
    <w:p w14:paraId="4ECD34DA">
      <w:pPr>
        <w:spacing w:line="580" w:lineRule="exact"/>
        <w:ind w:firstLine="643"/>
        <w:rPr>
          <w:rFonts w:ascii="楷体_GB2312" w:eastAsia="楷体_GB2312"/>
          <w:b/>
          <w:sz w:val="32"/>
          <w:szCs w:val="32"/>
        </w:rPr>
      </w:pPr>
      <w:r>
        <w:rPr>
          <w:rFonts w:hint="eastAsia" w:ascii="楷体_GB2312" w:eastAsia="楷体_GB2312"/>
          <w:b/>
          <w:sz w:val="32"/>
          <w:szCs w:val="32"/>
        </w:rPr>
        <w:t>（二）项目绩效目标</w:t>
      </w:r>
    </w:p>
    <w:p w14:paraId="5424FBF8">
      <w:pPr>
        <w:spacing w:line="580" w:lineRule="exact"/>
        <w:ind w:firstLine="640"/>
        <w:rPr>
          <w:rFonts w:ascii="仿宋_GB2312" w:eastAsia="仿宋_GB2312"/>
          <w:sz w:val="32"/>
          <w:szCs w:val="32"/>
        </w:rPr>
      </w:pPr>
      <w:r>
        <w:rPr>
          <w:rFonts w:hint="eastAsia" w:ascii="仿宋_GB2312" w:eastAsia="仿宋_GB2312"/>
          <w:sz w:val="32"/>
          <w:szCs w:val="32"/>
        </w:rPr>
        <w:t>项目绩效</w:t>
      </w:r>
      <w:r>
        <w:rPr>
          <w:rFonts w:ascii="仿宋_GB2312" w:eastAsia="仿宋_GB2312"/>
          <w:sz w:val="32"/>
          <w:szCs w:val="32"/>
        </w:rPr>
        <w:t>总体</w:t>
      </w:r>
      <w:r>
        <w:rPr>
          <w:rFonts w:hint="eastAsia" w:ascii="仿宋_GB2312" w:eastAsia="仿宋_GB2312"/>
          <w:sz w:val="32"/>
          <w:szCs w:val="32"/>
        </w:rPr>
        <w:t>目标</w:t>
      </w:r>
      <w:r>
        <w:rPr>
          <w:rFonts w:ascii="仿宋_GB2312" w:eastAsia="仿宋_GB2312"/>
          <w:sz w:val="32"/>
          <w:szCs w:val="32"/>
        </w:rPr>
        <w:t>：1.掌握春节期间在岗单位值班情况；2.了解春节期间安全生产及值班备勤情况；3：被慰问单位在岗值班人员满意度。</w:t>
      </w:r>
    </w:p>
    <w:p w14:paraId="3CA07B77">
      <w:pPr>
        <w:spacing w:line="580" w:lineRule="exact"/>
        <w:ind w:firstLine="640"/>
        <w:rPr>
          <w:rFonts w:ascii="仿宋_GB2312" w:eastAsia="仿宋_GB2312"/>
          <w:sz w:val="32"/>
          <w:szCs w:val="32"/>
        </w:rPr>
      </w:pPr>
      <w:r>
        <w:rPr>
          <w:rFonts w:ascii="仿宋_GB2312" w:eastAsia="仿宋_GB2312"/>
          <w:sz w:val="32"/>
          <w:szCs w:val="32"/>
        </w:rPr>
        <w:t>预期绩效指标：于2023年1月21日前完成对春节期间坚守工作岗位的27个单位的慰问，预期慰问单位数量率达100%，慰问经费支付率达100%，慰问经费使用效益高，被慰问单位人员满意度相好。</w:t>
      </w:r>
    </w:p>
    <w:p w14:paraId="203EEAC8">
      <w:pPr>
        <w:spacing w:line="580" w:lineRule="exact"/>
        <w:ind w:firstLine="640"/>
        <w:rPr>
          <w:rFonts w:ascii="黑体" w:hAnsi="黑体" w:eastAsia="黑体"/>
          <w:sz w:val="32"/>
          <w:szCs w:val="32"/>
        </w:rPr>
      </w:pPr>
      <w:r>
        <w:rPr>
          <w:rFonts w:hint="eastAsia" w:ascii="黑体" w:hAnsi="黑体" w:eastAsia="黑体"/>
          <w:sz w:val="32"/>
          <w:szCs w:val="32"/>
        </w:rPr>
        <w:t>二、项目资金情况</w:t>
      </w:r>
    </w:p>
    <w:p w14:paraId="22E8FFC8">
      <w:pPr>
        <w:spacing w:line="580" w:lineRule="exact"/>
        <w:ind w:firstLine="640"/>
        <w:rPr>
          <w:rFonts w:ascii="仿宋_GB2312" w:eastAsia="仿宋_GB2312"/>
          <w:sz w:val="32"/>
          <w:szCs w:val="32"/>
        </w:rPr>
      </w:pPr>
      <w:r>
        <w:rPr>
          <w:rFonts w:hint="eastAsia" w:ascii="仿宋_GB2312" w:eastAsia="仿宋_GB2312"/>
          <w:sz w:val="32"/>
          <w:szCs w:val="32"/>
        </w:rPr>
        <w:t>2023年春节慰问</w:t>
      </w:r>
      <w:r>
        <w:rPr>
          <w:rFonts w:ascii="仿宋_GB2312" w:eastAsia="仿宋_GB2312"/>
          <w:sz w:val="32"/>
          <w:szCs w:val="32"/>
        </w:rPr>
        <w:t>经费财政拨款年初预算2.7万元，全年预算数2.7万元，全年到位资金2.7万元，全年支出2.7万元，资金支付率100%。资金主要用于慰问春节期间坚守工作岗位的27个单位，每个单位1000元，共计2.7万元。</w:t>
      </w:r>
    </w:p>
    <w:p w14:paraId="5CD529D2">
      <w:pPr>
        <w:spacing w:line="580" w:lineRule="exact"/>
        <w:ind w:firstLine="640"/>
        <w:rPr>
          <w:rFonts w:ascii="黑体" w:hAnsi="黑体" w:eastAsia="黑体"/>
          <w:sz w:val="32"/>
          <w:szCs w:val="32"/>
        </w:rPr>
      </w:pPr>
      <w:r>
        <w:rPr>
          <w:rFonts w:hint="eastAsia" w:ascii="黑体" w:hAnsi="黑体" w:eastAsia="黑体"/>
          <w:sz w:val="32"/>
          <w:szCs w:val="32"/>
        </w:rPr>
        <w:t>三、绩效目标完成情况及效益分析</w:t>
      </w:r>
    </w:p>
    <w:p w14:paraId="3A5ECFDC">
      <w:pPr>
        <w:spacing w:line="58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（一）经济效益</w:t>
      </w:r>
    </w:p>
    <w:p w14:paraId="2E7A0594">
      <w:pPr>
        <w:spacing w:line="580" w:lineRule="exact"/>
        <w:ind w:firstLine="640"/>
        <w:rPr>
          <w:rFonts w:ascii="仿宋_GB2312" w:eastAsia="仿宋_GB2312"/>
          <w:sz w:val="32"/>
          <w:szCs w:val="32"/>
        </w:rPr>
      </w:pPr>
      <w:r>
        <w:rPr>
          <w:rFonts w:hint="eastAsia" w:ascii="仿宋_GB2312" w:eastAsia="仿宋_GB2312"/>
          <w:sz w:val="32"/>
          <w:szCs w:val="32"/>
        </w:rPr>
        <w:t>项目资金效益</w:t>
      </w:r>
      <w:r>
        <w:rPr>
          <w:rFonts w:ascii="仿宋_GB2312" w:eastAsia="仿宋_GB2312"/>
          <w:sz w:val="32"/>
          <w:szCs w:val="32"/>
        </w:rPr>
        <w:t>及资金周转率预期年度指标值100%，实际完成值100%。春节慰问经费确保单位值班正常运转，为促进社会有序运转和经济正常运行保驾护航。</w:t>
      </w:r>
    </w:p>
    <w:p w14:paraId="7CA76263">
      <w:pPr>
        <w:numPr>
          <w:ilvl w:val="0"/>
          <w:numId w:val="1"/>
        </w:numPr>
        <w:spacing w:line="58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社会效益</w:t>
      </w:r>
    </w:p>
    <w:p w14:paraId="00BDB836">
      <w:pPr>
        <w:spacing w:line="580" w:lineRule="exact"/>
        <w:ind w:firstLine="640"/>
        <w:rPr>
          <w:rFonts w:ascii="仿宋_GB2312" w:eastAsia="仿宋_GB2312"/>
          <w:sz w:val="32"/>
          <w:szCs w:val="32"/>
        </w:rPr>
      </w:pPr>
      <w:r>
        <w:rPr>
          <w:rFonts w:ascii="仿宋_GB2312" w:eastAsia="仿宋_GB2312"/>
          <w:sz w:val="32"/>
          <w:szCs w:val="32"/>
        </w:rPr>
        <w:t>春节期间在岗值班单位运转率预期年度指标值100%，实际完成值100%；春节在岗值班单位社会形象预期年度指标值优，实际完成值优。春节期间各值班单位运转正常，社会公众反映问题解决及时、恰当。总体来看，春节期间的政府社会公众形象良好。</w:t>
      </w:r>
    </w:p>
    <w:p w14:paraId="55C92D54">
      <w:pPr>
        <w:numPr>
          <w:ilvl w:val="0"/>
          <w:numId w:val="1"/>
        </w:numPr>
        <w:spacing w:line="58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生态效益</w:t>
      </w:r>
    </w:p>
    <w:p w14:paraId="6CA980D6">
      <w:pPr>
        <w:spacing w:line="580" w:lineRule="exact"/>
        <w:ind w:firstLine="640"/>
        <w:rPr>
          <w:rFonts w:ascii="仿宋_GB2312" w:eastAsia="仿宋_GB2312"/>
          <w:sz w:val="32"/>
          <w:szCs w:val="32"/>
        </w:rPr>
      </w:pPr>
      <w:r>
        <w:rPr>
          <w:rFonts w:hint="eastAsia" w:ascii="仿宋_GB2312" w:eastAsia="仿宋_GB2312"/>
          <w:sz w:val="32"/>
          <w:szCs w:val="32"/>
        </w:rPr>
        <w:t>生态环境冲击力</w:t>
      </w:r>
      <w:r>
        <w:rPr>
          <w:rFonts w:ascii="仿宋_GB2312" w:eastAsia="仿宋_GB2312"/>
          <w:sz w:val="32"/>
          <w:szCs w:val="32"/>
        </w:rPr>
        <w:t>预期年度指标值优，实际完成值优。各值守单位春节值班期间实时监控各企业运转情况，防止企业借机生产，伺机排放，确保春节期间不出现生态破</w:t>
      </w:r>
      <w:r>
        <w:rPr>
          <w:rFonts w:hint="eastAsia" w:ascii="仿宋_GB2312" w:eastAsia="仿宋_GB2312"/>
          <w:sz w:val="32"/>
          <w:szCs w:val="32"/>
          <w:lang w:val="en-US" w:eastAsia="zh-CN"/>
        </w:rPr>
        <w:t>坏</w:t>
      </w:r>
      <w:bookmarkStart w:id="1" w:name="_GoBack"/>
      <w:bookmarkEnd w:id="1"/>
      <w:r>
        <w:rPr>
          <w:rFonts w:ascii="仿宋_GB2312" w:eastAsia="仿宋_GB2312"/>
          <w:sz w:val="32"/>
          <w:szCs w:val="32"/>
        </w:rPr>
        <w:t>性活动。</w:t>
      </w:r>
    </w:p>
    <w:p w14:paraId="16F30BBC">
      <w:pPr>
        <w:numPr>
          <w:ilvl w:val="0"/>
          <w:numId w:val="1"/>
        </w:numPr>
        <w:spacing w:line="58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可持续影响</w:t>
      </w:r>
    </w:p>
    <w:p w14:paraId="192C15D9">
      <w:pPr>
        <w:spacing w:line="580" w:lineRule="exact"/>
        <w:ind w:firstLine="640"/>
        <w:rPr>
          <w:rFonts w:ascii="仿宋_GB2312" w:eastAsia="仿宋_GB2312"/>
          <w:sz w:val="32"/>
          <w:szCs w:val="32"/>
        </w:rPr>
      </w:pPr>
      <w:r>
        <w:rPr>
          <w:rFonts w:hint="eastAsia" w:ascii="仿宋_GB2312" w:eastAsia="仿宋_GB2312"/>
          <w:sz w:val="32"/>
          <w:szCs w:val="32"/>
        </w:rPr>
        <w:t>经济可持续性运转率</w:t>
      </w:r>
      <w:r>
        <w:rPr>
          <w:rFonts w:ascii="仿宋_GB2312" w:eastAsia="仿宋_GB2312"/>
          <w:sz w:val="32"/>
          <w:szCs w:val="32"/>
        </w:rPr>
        <w:t>及生态环境可持续发展预期年度指标值100%，实际完成值100%。春节期间各值班单位的值守为社会有序运转，经济的可持续发展和生态环境可持续性提供了有力的保障。</w:t>
      </w:r>
    </w:p>
    <w:p w14:paraId="121CD53F">
      <w:pPr>
        <w:numPr>
          <w:ilvl w:val="0"/>
          <w:numId w:val="1"/>
        </w:numPr>
        <w:spacing w:line="58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服务对象满意度</w:t>
      </w:r>
    </w:p>
    <w:p w14:paraId="539D080A">
      <w:pPr>
        <w:spacing w:line="580" w:lineRule="exact"/>
        <w:ind w:firstLine="640"/>
        <w:rPr>
          <w:rFonts w:ascii="仿宋_GB2312" w:eastAsia="仿宋_GB2312"/>
          <w:sz w:val="32"/>
          <w:szCs w:val="32"/>
        </w:rPr>
      </w:pPr>
      <w:r>
        <w:rPr>
          <w:rFonts w:ascii="仿宋_GB2312" w:eastAsia="仿宋_GB2312"/>
          <w:sz w:val="32"/>
          <w:szCs w:val="32"/>
        </w:rPr>
        <w:t>被慰问单位在岗值班人员满意度及社会公众满意度预期年度指标值100%，实际完成值100%。春节期间的送温暖慰问活动为值班单位人员提供了后勤保障和精神关怀，得到了值班单位人员的认可，春节期间水、电、暖的有力保障也得到了社会公众的一致好评。</w:t>
      </w:r>
    </w:p>
    <w:p w14:paraId="23E3563F">
      <w:pPr>
        <w:spacing w:line="580" w:lineRule="exact"/>
        <w:ind w:firstLine="640"/>
        <w:rPr>
          <w:rFonts w:ascii="黑体" w:hAnsi="黑体" w:eastAsia="黑体"/>
          <w:sz w:val="32"/>
          <w:szCs w:val="32"/>
        </w:rPr>
      </w:pPr>
      <w:r>
        <w:rPr>
          <w:rFonts w:hint="eastAsia" w:ascii="黑体" w:hAnsi="黑体" w:eastAsia="黑体"/>
          <w:sz w:val="32"/>
          <w:szCs w:val="32"/>
        </w:rPr>
        <w:t>四、自评结论</w:t>
      </w:r>
    </w:p>
    <w:p w14:paraId="4E1A46E6">
      <w:pPr>
        <w:spacing w:line="580" w:lineRule="exact"/>
        <w:ind w:firstLine="640"/>
        <w:rPr>
          <w:rFonts w:ascii="仿宋_GB2312" w:eastAsia="仿宋_GB2312"/>
          <w:sz w:val="32"/>
          <w:szCs w:val="32"/>
        </w:rPr>
      </w:pPr>
      <w:r>
        <w:rPr>
          <w:rFonts w:hint="eastAsia" w:ascii="仿宋_GB2312" w:eastAsia="仿宋_GB2312"/>
          <w:sz w:val="32"/>
          <w:szCs w:val="32"/>
        </w:rPr>
        <w:t>2023年春节慰问</w:t>
      </w:r>
      <w:r>
        <w:rPr>
          <w:rFonts w:ascii="仿宋_GB2312" w:eastAsia="仿宋_GB2312"/>
          <w:sz w:val="32"/>
          <w:szCs w:val="32"/>
        </w:rPr>
        <w:t>项目支出绩效自评资金使用率100%，绩效产出指标、效益指标、满意度指标自评均达到100%和优的反映，自评总体得分100分。</w:t>
      </w:r>
    </w:p>
    <w:p w14:paraId="39BD319D">
      <w:pPr>
        <w:numPr>
          <w:ilvl w:val="0"/>
          <w:numId w:val="2"/>
        </w:numPr>
        <w:spacing w:line="580" w:lineRule="exact"/>
        <w:ind w:firstLine="640"/>
        <w:rPr>
          <w:rFonts w:ascii="黑体" w:hAnsi="黑体" w:eastAsia="黑体"/>
          <w:sz w:val="32"/>
          <w:szCs w:val="32"/>
        </w:rPr>
      </w:pPr>
      <w:r>
        <w:rPr>
          <w:rFonts w:hint="eastAsia" w:ascii="黑体" w:hAnsi="黑体" w:eastAsia="黑体"/>
          <w:sz w:val="32"/>
          <w:szCs w:val="32"/>
        </w:rPr>
        <w:t>存在的问题</w:t>
      </w:r>
    </w:p>
    <w:p w14:paraId="741F893F">
      <w:pPr>
        <w:spacing w:line="580" w:lineRule="exact"/>
        <w:ind w:firstLine="640"/>
        <w:rPr>
          <w:rFonts w:ascii="黑体" w:hAnsi="黑体" w:eastAsia="黑体"/>
          <w:sz w:val="32"/>
          <w:szCs w:val="32"/>
        </w:rPr>
      </w:pPr>
      <w:r>
        <w:rPr>
          <w:rFonts w:hint="eastAsia" w:ascii="仿宋_GB2312" w:eastAsia="仿宋_GB2312"/>
          <w:sz w:val="32"/>
          <w:szCs w:val="32"/>
        </w:rPr>
        <w:t>春节慰问</w:t>
      </w:r>
      <w:r>
        <w:rPr>
          <w:rFonts w:ascii="仿宋_GB2312" w:eastAsia="仿宋_GB2312"/>
          <w:sz w:val="32"/>
          <w:szCs w:val="32"/>
        </w:rPr>
        <w:t>项目支出经费使用单一，部分绩效评价指标标准模糊，目标值完成程度因主观性因人而异。</w:t>
      </w:r>
    </w:p>
    <w:p w14:paraId="5BACA4B7">
      <w:pPr>
        <w:numPr>
          <w:ilvl w:val="0"/>
          <w:numId w:val="2"/>
        </w:numPr>
        <w:spacing w:line="580" w:lineRule="exact"/>
        <w:ind w:firstLine="640"/>
        <w:rPr>
          <w:rFonts w:ascii="黑体" w:hAnsi="黑体" w:eastAsia="黑体"/>
          <w:sz w:val="32"/>
          <w:szCs w:val="32"/>
        </w:rPr>
      </w:pPr>
      <w:r>
        <w:rPr>
          <w:rFonts w:hint="eastAsia" w:ascii="黑体" w:hAnsi="黑体" w:eastAsia="黑体"/>
          <w:sz w:val="32"/>
          <w:szCs w:val="32"/>
        </w:rPr>
        <w:t>下一步改进工作的措施</w:t>
      </w:r>
    </w:p>
    <w:p w14:paraId="74819D49">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不断提高绩效管理业务能力，持续学习绩效管理相关知识，明确管理标准、周期、方法和结果运用，以应对现如今业务复杂性和多元性的现实。</w:t>
      </w:r>
    </w:p>
    <w:p w14:paraId="2D22FE73">
      <w:pPr>
        <w:spacing w:line="580" w:lineRule="exact"/>
        <w:ind w:firstLine="640"/>
        <w:rPr>
          <w:rFonts w:ascii="仿宋_GB2312" w:hAnsi="仿宋_GB2312" w:eastAsia="仿宋_GB2312" w:cs="仿宋_GB2312"/>
          <w:sz w:val="32"/>
          <w:szCs w:val="32"/>
        </w:rPr>
      </w:pPr>
    </w:p>
    <w:p w14:paraId="21E0B21F">
      <w:pPr>
        <w:spacing w:line="580" w:lineRule="exact"/>
        <w:ind w:firstLine="640"/>
        <w:rPr>
          <w:rFonts w:ascii="仿宋_GB2312" w:hAnsi="仿宋_GB2312" w:eastAsia="仿宋_GB2312" w:cs="仿宋_GB2312"/>
          <w:sz w:val="32"/>
          <w:szCs w:val="32"/>
        </w:rPr>
      </w:pPr>
    </w:p>
    <w:p w14:paraId="78C5CB08">
      <w:pPr>
        <w:spacing w:line="580" w:lineRule="exact"/>
        <w:rPr>
          <w:rFonts w:ascii="仿宋_GB2312" w:hAnsi="仿宋_GB2312" w:eastAsia="仿宋_GB2312" w:cs="仿宋_GB2312"/>
          <w:sz w:val="32"/>
          <w:szCs w:val="32"/>
        </w:rPr>
      </w:pPr>
    </w:p>
    <w:p w14:paraId="286B54F5">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山丹县机关事务中心</w:t>
      </w:r>
    </w:p>
    <w:p w14:paraId="41571AF4">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艾黎精神传承教育基地建设项目实训楼维修改造资金支出绩效自评报告</w:t>
      </w:r>
    </w:p>
    <w:p w14:paraId="5BDFF79D">
      <w:pPr>
        <w:spacing w:line="580" w:lineRule="exact"/>
        <w:rPr>
          <w:rFonts w:ascii="方正小标宋简体" w:eastAsia="方正小标宋简体"/>
          <w:sz w:val="44"/>
          <w:szCs w:val="44"/>
        </w:rPr>
      </w:pPr>
    </w:p>
    <w:p w14:paraId="0821FB94">
      <w:pPr>
        <w:spacing w:line="580" w:lineRule="exact"/>
        <w:ind w:firstLine="640"/>
        <w:rPr>
          <w:rFonts w:eastAsia="黑体"/>
          <w:sz w:val="32"/>
          <w:szCs w:val="32"/>
        </w:rPr>
      </w:pPr>
      <w:r>
        <w:rPr>
          <w:rFonts w:hint="eastAsia" w:eastAsia="黑体"/>
          <w:sz w:val="32"/>
          <w:szCs w:val="32"/>
        </w:rPr>
        <w:t>一、项目基本情况</w:t>
      </w:r>
    </w:p>
    <w:p w14:paraId="4F17933A">
      <w:pPr>
        <w:spacing w:line="580" w:lineRule="exact"/>
        <w:ind w:firstLine="643"/>
        <w:rPr>
          <w:rFonts w:ascii="楷体_GB2312" w:eastAsia="楷体_GB2312"/>
          <w:b/>
          <w:sz w:val="32"/>
          <w:szCs w:val="32"/>
        </w:rPr>
      </w:pPr>
      <w:r>
        <w:rPr>
          <w:rFonts w:hint="eastAsia" w:ascii="楷体_GB2312" w:eastAsia="楷体_GB2312"/>
          <w:b/>
          <w:sz w:val="32"/>
          <w:szCs w:val="32"/>
        </w:rPr>
        <w:t>（一）项目概况</w:t>
      </w:r>
    </w:p>
    <w:p w14:paraId="6B4F8E9B">
      <w:pPr>
        <w:spacing w:line="580" w:lineRule="exact"/>
        <w:ind w:firstLine="640"/>
        <w:rPr>
          <w:rFonts w:ascii="仿宋_GB2312" w:hAnsi="黑体" w:eastAsia="仿宋_GB2312"/>
          <w:sz w:val="32"/>
          <w:szCs w:val="32"/>
        </w:rPr>
      </w:pPr>
      <w:r>
        <w:rPr>
          <w:rFonts w:hint="eastAsia" w:ascii="仿宋_GB2312" w:hAnsi="仿宋_GB2312" w:eastAsia="仿宋_GB2312" w:cs="仿宋_GB2312"/>
          <w:sz w:val="32"/>
          <w:szCs w:val="32"/>
        </w:rPr>
        <w:t>为进一步提升全县机关事业单位办公用房使用效率，改善机关事业单位办公环境，根据县委办公室、县政府办公室《关于印发山丹县党政机关事业单位办公用房管理实施办法的通知》精神和要求，结合我县党政机关办公用房使用情况，2022年县机关事务中心对艾黎精神传承教育基地建设项目实训楼进行维修改造，</w:t>
      </w:r>
      <w:r>
        <w:rPr>
          <w:rFonts w:hint="eastAsia" w:ascii="仿宋_GB2312" w:hAnsi="黑体" w:eastAsia="仿宋_GB2312"/>
          <w:sz w:val="32"/>
          <w:szCs w:val="32"/>
        </w:rPr>
        <w:t>以上共需资金107万元。</w:t>
      </w:r>
    </w:p>
    <w:p w14:paraId="03978C69">
      <w:pPr>
        <w:spacing w:line="580" w:lineRule="exact"/>
        <w:ind w:firstLine="640"/>
        <w:rPr>
          <w:rFonts w:ascii="仿宋_GB2312" w:eastAsia="仿宋_GB2312"/>
          <w:sz w:val="32"/>
          <w:szCs w:val="32"/>
        </w:rPr>
      </w:pPr>
      <w:r>
        <w:rPr>
          <w:rFonts w:hint="eastAsia" w:ascii="仿宋_GB2312" w:eastAsia="仿宋_GB2312"/>
          <w:sz w:val="32"/>
          <w:szCs w:val="32"/>
        </w:rPr>
        <w:t>根据山机事务[2023]2号关于解决</w:t>
      </w:r>
      <w:r>
        <w:rPr>
          <w:rFonts w:hint="eastAsia" w:ascii="仿宋_GB2312" w:hAnsi="仿宋_GB2312" w:eastAsia="仿宋_GB2312" w:cs="仿宋_GB2312"/>
          <w:sz w:val="32"/>
          <w:szCs w:val="32"/>
        </w:rPr>
        <w:t>对艾黎精神传承教育基地建设项目实训楼进行维修改造</w:t>
      </w:r>
      <w:r>
        <w:rPr>
          <w:rFonts w:hint="eastAsia" w:ascii="仿宋_GB2312" w:eastAsia="仿宋_GB2312"/>
          <w:sz w:val="32"/>
          <w:szCs w:val="32"/>
        </w:rPr>
        <w:t>项目资金的报告，财政拨付我中心</w:t>
      </w:r>
      <w:r>
        <w:rPr>
          <w:rFonts w:hint="eastAsia" w:ascii="仿宋_GB2312" w:hAnsi="仿宋_GB2312" w:eastAsia="仿宋_GB2312" w:cs="仿宋_GB2312"/>
          <w:sz w:val="32"/>
          <w:szCs w:val="32"/>
        </w:rPr>
        <w:t>艾黎精神传承教育基地建设项目实训楼进行维修改造</w:t>
      </w:r>
      <w:r>
        <w:rPr>
          <w:rFonts w:hint="eastAsia" w:ascii="仿宋_GB2312" w:eastAsia="仿宋_GB2312"/>
          <w:sz w:val="32"/>
          <w:szCs w:val="32"/>
        </w:rPr>
        <w:t>项目资金107万元。</w:t>
      </w:r>
    </w:p>
    <w:p w14:paraId="0860C92B">
      <w:pPr>
        <w:spacing w:line="580" w:lineRule="exact"/>
        <w:ind w:firstLine="321"/>
        <w:rPr>
          <w:rFonts w:ascii="楷体_GB2312" w:eastAsia="楷体_GB2312"/>
          <w:b/>
          <w:sz w:val="32"/>
          <w:szCs w:val="32"/>
        </w:rPr>
      </w:pPr>
      <w:r>
        <w:rPr>
          <w:rFonts w:hint="eastAsia" w:ascii="楷体_GB2312" w:eastAsia="楷体_GB2312"/>
          <w:b/>
          <w:sz w:val="32"/>
          <w:szCs w:val="32"/>
        </w:rPr>
        <w:t>（二）项目绩效目标</w:t>
      </w:r>
    </w:p>
    <w:p w14:paraId="077CAD94">
      <w:pPr>
        <w:spacing w:line="580" w:lineRule="exact"/>
        <w:ind w:firstLine="640"/>
        <w:rPr>
          <w:rFonts w:ascii="仿宋_GB2312" w:hAnsi="黑体" w:eastAsia="仿宋_GB2312"/>
          <w:sz w:val="32"/>
          <w:szCs w:val="32"/>
        </w:rPr>
      </w:pPr>
      <w:r>
        <w:rPr>
          <w:rFonts w:hint="eastAsia" w:ascii="仿宋_GB2312" w:hAnsi="黑体" w:eastAsia="仿宋_GB2312"/>
          <w:sz w:val="32"/>
          <w:szCs w:val="32"/>
        </w:rPr>
        <w:t>严格按照合同规定，对</w:t>
      </w:r>
      <w:r>
        <w:rPr>
          <w:rFonts w:hint="eastAsia" w:ascii="仿宋_GB2312" w:hAnsi="仿宋_GB2312" w:eastAsia="仿宋_GB2312" w:cs="仿宋_GB2312"/>
          <w:sz w:val="32"/>
          <w:szCs w:val="32"/>
        </w:rPr>
        <w:t>艾黎精神传承教育基地建设项目实训楼进行维修改造</w:t>
      </w:r>
      <w:r>
        <w:rPr>
          <w:rFonts w:hint="eastAsia" w:ascii="仿宋_GB2312" w:hAnsi="黑体" w:eastAsia="仿宋_GB2312"/>
          <w:sz w:val="32"/>
          <w:szCs w:val="32"/>
        </w:rPr>
        <w:t>、设施设备进行维修更换，保障机关工作正常运行。</w:t>
      </w:r>
    </w:p>
    <w:p w14:paraId="738F5707">
      <w:pPr>
        <w:spacing w:line="580" w:lineRule="exact"/>
        <w:ind w:firstLine="640"/>
        <w:rPr>
          <w:rFonts w:ascii="黑体" w:hAnsi="黑体" w:eastAsia="黑体"/>
          <w:sz w:val="32"/>
          <w:szCs w:val="32"/>
        </w:rPr>
      </w:pPr>
      <w:r>
        <w:rPr>
          <w:rFonts w:hint="eastAsia" w:ascii="黑体" w:hAnsi="黑体" w:eastAsia="黑体"/>
          <w:sz w:val="32"/>
          <w:szCs w:val="32"/>
        </w:rPr>
        <w:t>二、项目资金情况</w:t>
      </w:r>
    </w:p>
    <w:p w14:paraId="5025D26D">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全年预算数107万元，艾黎精神传承教育基地建设项目实训楼进行维修改造</w:t>
      </w:r>
      <w:r>
        <w:rPr>
          <w:rFonts w:hint="eastAsia" w:ascii="仿宋_GB2312" w:eastAsia="仿宋_GB2312"/>
          <w:sz w:val="32"/>
          <w:szCs w:val="32"/>
        </w:rPr>
        <w:t>项目资金</w:t>
      </w:r>
      <w:r>
        <w:rPr>
          <w:rFonts w:hint="eastAsia" w:ascii="仿宋_GB2312" w:hAnsi="仿宋_GB2312" w:eastAsia="仿宋_GB2312" w:cs="仿宋_GB2312"/>
          <w:sz w:val="32"/>
          <w:szCs w:val="32"/>
        </w:rPr>
        <w:t>执行数107万元，预算执行率100%。</w:t>
      </w:r>
    </w:p>
    <w:p w14:paraId="6409A7E5">
      <w:pPr>
        <w:spacing w:line="580" w:lineRule="exact"/>
        <w:ind w:firstLine="640"/>
        <w:rPr>
          <w:rFonts w:ascii="黑体" w:hAnsi="黑体" w:eastAsia="黑体"/>
          <w:sz w:val="32"/>
          <w:szCs w:val="32"/>
        </w:rPr>
      </w:pPr>
      <w:r>
        <w:rPr>
          <w:rFonts w:hint="eastAsia" w:ascii="黑体" w:hAnsi="黑体" w:eastAsia="黑体"/>
          <w:sz w:val="32"/>
          <w:szCs w:val="32"/>
        </w:rPr>
        <w:t>三、绩效目标完成情况及效益分析</w:t>
      </w:r>
    </w:p>
    <w:p w14:paraId="6591F456">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2023 年度，根据山机事务[2023]2号关于解决对艾黎精神传承教育基地建设项目实训楼进行维修改造项目资金的报告，承接该项目，2023本年度开工率为100%，年度完成率为100%，共完成了实训楼进行维修改造、设施设备进行维修更换，保障机关工作工程任务，截至今年5月，完成项目。 </w:t>
      </w:r>
    </w:p>
    <w:p w14:paraId="6EA9CECD">
      <w:pPr>
        <w:spacing w:line="580" w:lineRule="exact"/>
        <w:ind w:firstLine="640"/>
        <w:rPr>
          <w:rFonts w:ascii="黑体" w:hAnsi="黑体" w:eastAsia="黑体"/>
          <w:sz w:val="32"/>
          <w:szCs w:val="32"/>
        </w:rPr>
      </w:pPr>
      <w:r>
        <w:rPr>
          <w:rFonts w:hint="eastAsia" w:ascii="黑体" w:hAnsi="黑体" w:eastAsia="黑体"/>
          <w:sz w:val="32"/>
          <w:szCs w:val="32"/>
        </w:rPr>
        <w:t>四、自评结论</w:t>
      </w:r>
    </w:p>
    <w:p w14:paraId="4386AD0A">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2023年，我单位积极履职，强化管理，全部按时并高质量完成了目标任务，产出指标50分，效益指标30分，服务对象满意度20分，自评分数为100分，完成绩效目标。</w:t>
      </w:r>
    </w:p>
    <w:p w14:paraId="3BD0304D">
      <w:pPr>
        <w:numPr>
          <w:ilvl w:val="0"/>
          <w:numId w:val="3"/>
        </w:numPr>
        <w:spacing w:line="580" w:lineRule="exact"/>
        <w:ind w:firstLine="640"/>
        <w:rPr>
          <w:rFonts w:ascii="黑体" w:hAnsi="黑体" w:eastAsia="黑体"/>
          <w:sz w:val="32"/>
          <w:szCs w:val="32"/>
        </w:rPr>
      </w:pPr>
      <w:r>
        <w:rPr>
          <w:rFonts w:hint="eastAsia" w:ascii="黑体" w:hAnsi="黑体" w:eastAsia="黑体"/>
          <w:sz w:val="32"/>
          <w:szCs w:val="32"/>
        </w:rPr>
        <w:t>存在的问题</w:t>
      </w:r>
    </w:p>
    <w:p w14:paraId="724C772E">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体上我单位能够根据年初工作规划和重点工作，加强预算收支管理，建立健全内部管理制度，梳理内部管理流程，使部门整体支出管理情况得到提升，较好完成年度工作任务，但部门在绩效目标细化、资产管理等方面仍有待完善。</w:t>
      </w:r>
    </w:p>
    <w:p w14:paraId="66C6251A">
      <w:pPr>
        <w:numPr>
          <w:ilvl w:val="0"/>
          <w:numId w:val="3"/>
        </w:numPr>
        <w:spacing w:line="580" w:lineRule="exact"/>
        <w:ind w:firstLine="640"/>
        <w:rPr>
          <w:rFonts w:ascii="黑体" w:hAnsi="黑体" w:eastAsia="黑体"/>
          <w:sz w:val="32"/>
          <w:szCs w:val="32"/>
        </w:rPr>
      </w:pPr>
      <w:r>
        <w:rPr>
          <w:rFonts w:hint="eastAsia" w:ascii="黑体" w:hAnsi="黑体" w:eastAsia="黑体"/>
          <w:sz w:val="32"/>
          <w:szCs w:val="32"/>
        </w:rPr>
        <w:t>下一步改进工作的措施</w:t>
      </w:r>
    </w:p>
    <w:p w14:paraId="5177A06D">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1.科学合理编制预算。进一步提高预算管理意识，严格按照预算编制的相关制度和要求开展预算编制，提高预算编制的精细化、合理化程度。</w:t>
      </w:r>
    </w:p>
    <w:p w14:paraId="491F01C1">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2.加强专项资金管理，保证项目资金使用管理的规范性、安全性和有效性。</w:t>
      </w:r>
    </w:p>
    <w:p w14:paraId="19BEE64B">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3.科学设立绩效目标。仔细研究项目情况，结合单位实际，制定更加合理、更加易于考核量化的目标，更好的开展项目绩效工作。</w:t>
      </w:r>
    </w:p>
    <w:p w14:paraId="752CAB74">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山丹县机关事务中心</w:t>
      </w:r>
    </w:p>
    <w:p w14:paraId="0F1EB9D6">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创意中心多功能报告厅LED显示屏项目质保金支出绩效自评报告</w:t>
      </w:r>
    </w:p>
    <w:p w14:paraId="211EFA78">
      <w:pPr>
        <w:spacing w:line="580" w:lineRule="exact"/>
        <w:rPr>
          <w:rFonts w:ascii="方正小标宋简体" w:eastAsia="方正小标宋简体"/>
          <w:sz w:val="44"/>
          <w:szCs w:val="44"/>
        </w:rPr>
      </w:pPr>
    </w:p>
    <w:p w14:paraId="5FA11687">
      <w:pPr>
        <w:spacing w:line="580" w:lineRule="exact"/>
        <w:ind w:firstLine="640"/>
        <w:rPr>
          <w:rFonts w:eastAsia="黑体"/>
          <w:sz w:val="32"/>
          <w:szCs w:val="32"/>
        </w:rPr>
      </w:pPr>
      <w:r>
        <w:rPr>
          <w:rFonts w:hint="eastAsia" w:eastAsia="黑体"/>
          <w:sz w:val="32"/>
          <w:szCs w:val="32"/>
        </w:rPr>
        <w:t>一、项目基本情况</w:t>
      </w:r>
    </w:p>
    <w:p w14:paraId="5EF94712">
      <w:pPr>
        <w:spacing w:line="580" w:lineRule="exact"/>
        <w:ind w:firstLine="643"/>
        <w:rPr>
          <w:rFonts w:ascii="楷体_GB2312" w:eastAsia="楷体_GB2312"/>
          <w:b/>
          <w:sz w:val="32"/>
          <w:szCs w:val="32"/>
        </w:rPr>
      </w:pPr>
      <w:r>
        <w:rPr>
          <w:rFonts w:hint="eastAsia" w:ascii="楷体_GB2312" w:eastAsia="楷体_GB2312"/>
          <w:b/>
          <w:sz w:val="32"/>
          <w:szCs w:val="32"/>
        </w:rPr>
        <w:t>（一）项目概况</w:t>
      </w:r>
    </w:p>
    <w:p w14:paraId="7610E0E7">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文化旅游创意中心多功能报告厅舞台全彩LED显示屏，2017年政府回购价格为838000元(包含质保金50000元)，合同双方履行之日起，服务期满一年，由我单位支付质保金10000元，现服务期已满五年，一直未支付质保金。该设备使用期间运转正常，，以上共需资金5万元。</w:t>
      </w:r>
    </w:p>
    <w:p w14:paraId="57E79E8F">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根据山机事务[2023]9号关于创意中心多功能报告厅LED显示屏项目保证金资金的报告，财政拨付我中心创意中心多功能报告厅LED显示屏项目保证金资金5万元，为我中后勤服务工作提供有力保障。</w:t>
      </w:r>
    </w:p>
    <w:p w14:paraId="711E8FB0">
      <w:pPr>
        <w:spacing w:line="580" w:lineRule="exact"/>
        <w:ind w:firstLine="643"/>
        <w:rPr>
          <w:rFonts w:ascii="楷体_GB2312" w:eastAsia="楷体_GB2312"/>
          <w:b/>
          <w:sz w:val="32"/>
          <w:szCs w:val="32"/>
        </w:rPr>
      </w:pPr>
      <w:r>
        <w:rPr>
          <w:rFonts w:hint="eastAsia" w:ascii="楷体_GB2312" w:eastAsia="楷体_GB2312"/>
          <w:b/>
          <w:sz w:val="32"/>
          <w:szCs w:val="32"/>
        </w:rPr>
        <w:t>（二）项目绩效目标</w:t>
      </w:r>
    </w:p>
    <w:p w14:paraId="4588E110">
      <w:pPr>
        <w:spacing w:line="580" w:lineRule="exact"/>
        <w:ind w:firstLine="640"/>
        <w:rPr>
          <w:rFonts w:ascii="宋体" w:hAnsi="宋体" w:eastAsia="宋体" w:cs="宋体"/>
          <w:sz w:val="24"/>
          <w:szCs w:val="24"/>
        </w:rPr>
      </w:pPr>
      <w:r>
        <w:rPr>
          <w:rFonts w:hint="eastAsia" w:ascii="仿宋_GB2312" w:hAnsi="仿宋_GB2312" w:eastAsia="仿宋_GB2312" w:cs="仿宋_GB2312"/>
          <w:sz w:val="32"/>
          <w:szCs w:val="32"/>
        </w:rPr>
        <w:t>严格按照合同规定，对创意中心多功能报告厅LED显示屏项目该资产配套设备由乙方负责保管，乙方必须确保甲方在使用该LED显示屏时，无条件调试设备，保证设备处于正常运行状态，确认设备使用期间运转正常，进行资产维护工作，直至合同履行结束。</w:t>
      </w:r>
    </w:p>
    <w:p w14:paraId="548F48AA">
      <w:pPr>
        <w:spacing w:line="580" w:lineRule="exact"/>
        <w:ind w:firstLine="640"/>
        <w:rPr>
          <w:rFonts w:ascii="黑体" w:hAnsi="黑体" w:eastAsia="黑体"/>
          <w:sz w:val="32"/>
          <w:szCs w:val="32"/>
        </w:rPr>
      </w:pPr>
      <w:r>
        <w:rPr>
          <w:rFonts w:hint="eastAsia" w:ascii="黑体" w:hAnsi="黑体" w:eastAsia="黑体"/>
          <w:sz w:val="32"/>
          <w:szCs w:val="32"/>
        </w:rPr>
        <w:t>二、项目资金情况</w:t>
      </w:r>
    </w:p>
    <w:p w14:paraId="6B2F14D4">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全年预算数5万元，创意中心多功能报告厅LED显示屏项目保证金</w:t>
      </w:r>
      <w:r>
        <w:rPr>
          <w:rFonts w:hint="eastAsia" w:ascii="仿宋_GB2312" w:eastAsia="仿宋_GB2312"/>
          <w:sz w:val="32"/>
          <w:szCs w:val="32"/>
        </w:rPr>
        <w:t>资金</w:t>
      </w:r>
      <w:r>
        <w:rPr>
          <w:rFonts w:hint="eastAsia" w:ascii="仿宋_GB2312" w:hAnsi="仿宋_GB2312" w:eastAsia="仿宋_GB2312" w:cs="仿宋_GB2312"/>
          <w:sz w:val="32"/>
          <w:szCs w:val="32"/>
        </w:rPr>
        <w:t>执行数5万元，预算执行率100%。</w:t>
      </w:r>
    </w:p>
    <w:p w14:paraId="7BA90192">
      <w:pPr>
        <w:spacing w:line="580" w:lineRule="exact"/>
        <w:ind w:firstLine="640"/>
        <w:rPr>
          <w:rFonts w:ascii="黑体" w:hAnsi="黑体" w:eastAsia="黑体"/>
          <w:sz w:val="32"/>
          <w:szCs w:val="32"/>
        </w:rPr>
      </w:pPr>
      <w:r>
        <w:rPr>
          <w:rFonts w:hint="eastAsia" w:ascii="黑体" w:hAnsi="黑体" w:eastAsia="黑体"/>
          <w:sz w:val="32"/>
          <w:szCs w:val="32"/>
        </w:rPr>
        <w:t>三、绩效目标完成情况及效益分析</w:t>
      </w:r>
    </w:p>
    <w:p w14:paraId="3D196B05">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2023 年度，根据山机事务[2023]9号关于创意中心多功能报告厅LED显示屏项目保证金资金的报告,承接该项目，2023本年度开工率为100%，年度完成率为100%，共完成了资产配套设备设施设备保管，使用该LED显示屏时，无条件调试设备，保证设备处于正常运行状态，确认设备使用期间运转正常，进行资产维护工作，保障机关工作任务，截至今年3月，完成项目。 </w:t>
      </w:r>
    </w:p>
    <w:p w14:paraId="76226B0A">
      <w:pPr>
        <w:spacing w:line="580" w:lineRule="exact"/>
        <w:ind w:firstLine="640"/>
        <w:rPr>
          <w:rFonts w:ascii="黑体" w:hAnsi="黑体" w:eastAsia="黑体"/>
          <w:sz w:val="32"/>
          <w:szCs w:val="32"/>
        </w:rPr>
      </w:pPr>
      <w:r>
        <w:rPr>
          <w:rFonts w:hint="eastAsia" w:ascii="黑体" w:hAnsi="黑体" w:eastAsia="黑体"/>
          <w:sz w:val="32"/>
          <w:szCs w:val="32"/>
        </w:rPr>
        <w:t>四、自评结论</w:t>
      </w:r>
    </w:p>
    <w:p w14:paraId="4371F936">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2023年，我单位积极履职，强化管理，全部按时并高质量完成了目标任务，产出指标50分，效益指标30分，服务对象满意度20分，自评分数为100分，完成绩效目标。</w:t>
      </w:r>
    </w:p>
    <w:p w14:paraId="14181588">
      <w:pPr>
        <w:numPr>
          <w:ilvl w:val="0"/>
          <w:numId w:val="3"/>
        </w:numPr>
        <w:spacing w:line="580" w:lineRule="exact"/>
        <w:ind w:firstLine="640"/>
        <w:rPr>
          <w:rFonts w:ascii="黑体" w:hAnsi="黑体" w:eastAsia="黑体"/>
          <w:sz w:val="32"/>
          <w:szCs w:val="32"/>
        </w:rPr>
      </w:pPr>
      <w:r>
        <w:rPr>
          <w:rFonts w:hint="eastAsia" w:ascii="黑体" w:hAnsi="黑体" w:eastAsia="黑体"/>
          <w:sz w:val="32"/>
          <w:szCs w:val="32"/>
        </w:rPr>
        <w:t>存在的问题</w:t>
      </w:r>
    </w:p>
    <w:p w14:paraId="03AD2729">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体上我单位能够根据年初工作规划和重点工作，加强预算收支管理，建立健全内部管理制度，梳理内部管理流程，使部门整体支出管理情况得到提升，较好完成年度工作任务，但部门在绩效目标细化、资产管理等方面仍有待完善。</w:t>
      </w:r>
    </w:p>
    <w:p w14:paraId="19511F53">
      <w:pPr>
        <w:numPr>
          <w:ilvl w:val="0"/>
          <w:numId w:val="3"/>
        </w:numPr>
        <w:spacing w:line="580" w:lineRule="exact"/>
        <w:ind w:firstLine="640"/>
        <w:rPr>
          <w:rFonts w:ascii="黑体" w:hAnsi="黑体" w:eastAsia="黑体"/>
          <w:sz w:val="32"/>
          <w:szCs w:val="32"/>
        </w:rPr>
      </w:pPr>
      <w:r>
        <w:rPr>
          <w:rFonts w:hint="eastAsia" w:ascii="黑体" w:hAnsi="黑体" w:eastAsia="黑体"/>
          <w:sz w:val="32"/>
          <w:szCs w:val="32"/>
        </w:rPr>
        <w:t>下一步改进工作的措施</w:t>
      </w:r>
    </w:p>
    <w:p w14:paraId="033F8148">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1.科学合理编制预算。进一步提高预算管理意识，严格按照预算编制的相关制度和要求开展预算编制，提高预算编制的精细化、合理化程度。</w:t>
      </w:r>
    </w:p>
    <w:p w14:paraId="7B0BCA75">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2.加强专项资金管理，保证项目资金使用管理的规范性、安全性和有效性。</w:t>
      </w:r>
    </w:p>
    <w:p w14:paraId="112561AE">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3.科学设立绩效目标。仔细研究项目情况，结合单位实际，制定更加合理、更加易于考核量化的目标，更好的开展项目绩效工作。</w:t>
      </w:r>
    </w:p>
    <w:p w14:paraId="02F710A4">
      <w:pPr>
        <w:spacing w:line="580" w:lineRule="exact"/>
        <w:ind w:firstLine="640"/>
        <w:rPr>
          <w:rFonts w:ascii="仿宋_GB2312" w:hAnsi="仿宋_GB2312" w:eastAsia="仿宋_GB2312" w:cs="仿宋_GB2312"/>
          <w:sz w:val="32"/>
          <w:szCs w:val="32"/>
        </w:rPr>
      </w:pPr>
    </w:p>
    <w:p w14:paraId="3E0BCE8D">
      <w:pPr>
        <w:spacing w:line="580" w:lineRule="exact"/>
        <w:ind w:firstLine="640"/>
        <w:rPr>
          <w:rFonts w:ascii="仿宋_GB2312" w:hAnsi="仿宋_GB2312" w:eastAsia="仿宋_GB2312" w:cs="仿宋_GB2312"/>
          <w:sz w:val="32"/>
          <w:szCs w:val="32"/>
        </w:rPr>
      </w:pPr>
    </w:p>
    <w:p w14:paraId="62EC10CC">
      <w:pPr>
        <w:spacing w:line="580" w:lineRule="exact"/>
        <w:ind w:firstLine="5120"/>
        <w:rPr>
          <w:rFonts w:ascii="仿宋_GB2312" w:hAnsi="仿宋_GB2312" w:eastAsia="仿宋_GB2312" w:cs="仿宋_GB2312"/>
          <w:sz w:val="32"/>
          <w:szCs w:val="32"/>
        </w:rPr>
      </w:pPr>
    </w:p>
    <w:p w14:paraId="731E0C48">
      <w:pPr>
        <w:spacing w:line="580" w:lineRule="exact"/>
        <w:ind w:firstLine="5120"/>
        <w:rPr>
          <w:rFonts w:ascii="仿宋_GB2312" w:hAnsi="仿宋_GB2312" w:eastAsia="仿宋_GB2312" w:cs="仿宋_GB2312"/>
          <w:sz w:val="32"/>
          <w:szCs w:val="32"/>
        </w:rPr>
      </w:pPr>
    </w:p>
    <w:p w14:paraId="57C359E4">
      <w:pPr>
        <w:spacing w:line="580" w:lineRule="exact"/>
        <w:ind w:firstLine="5120"/>
        <w:rPr>
          <w:rFonts w:ascii="仿宋_GB2312" w:hAnsi="仿宋_GB2312" w:eastAsia="仿宋_GB2312" w:cs="仿宋_GB2312"/>
          <w:sz w:val="32"/>
          <w:szCs w:val="32"/>
        </w:rPr>
      </w:pPr>
    </w:p>
    <w:p w14:paraId="0EC3E082">
      <w:pPr>
        <w:spacing w:line="580" w:lineRule="exact"/>
        <w:ind w:firstLine="5120"/>
        <w:rPr>
          <w:rFonts w:ascii="仿宋_GB2312" w:hAnsi="仿宋_GB2312" w:eastAsia="仿宋_GB2312" w:cs="仿宋_GB2312"/>
          <w:sz w:val="32"/>
          <w:szCs w:val="32"/>
        </w:rPr>
      </w:pPr>
    </w:p>
    <w:p w14:paraId="4F9CF3AA">
      <w:pPr>
        <w:spacing w:line="580" w:lineRule="exact"/>
        <w:ind w:firstLine="5120"/>
        <w:rPr>
          <w:rFonts w:ascii="仿宋_GB2312" w:hAnsi="仿宋_GB2312" w:eastAsia="仿宋_GB2312" w:cs="仿宋_GB2312"/>
          <w:sz w:val="32"/>
          <w:szCs w:val="32"/>
        </w:rPr>
      </w:pPr>
    </w:p>
    <w:p w14:paraId="2E576781">
      <w:pPr>
        <w:spacing w:line="580" w:lineRule="exact"/>
        <w:ind w:firstLine="5120"/>
        <w:rPr>
          <w:rFonts w:ascii="仿宋_GB2312" w:hAnsi="仿宋_GB2312" w:eastAsia="仿宋_GB2312" w:cs="仿宋_GB2312"/>
          <w:sz w:val="32"/>
          <w:szCs w:val="32"/>
        </w:rPr>
      </w:pPr>
    </w:p>
    <w:p w14:paraId="108CC574">
      <w:pPr>
        <w:spacing w:line="580" w:lineRule="exact"/>
        <w:ind w:firstLine="5120"/>
        <w:rPr>
          <w:rFonts w:ascii="仿宋_GB2312" w:hAnsi="仿宋_GB2312" w:eastAsia="仿宋_GB2312" w:cs="仿宋_GB2312"/>
          <w:sz w:val="32"/>
          <w:szCs w:val="32"/>
        </w:rPr>
      </w:pPr>
    </w:p>
    <w:p w14:paraId="17E5BA3C">
      <w:pPr>
        <w:spacing w:line="580" w:lineRule="exact"/>
        <w:ind w:firstLine="5120"/>
        <w:rPr>
          <w:rFonts w:ascii="仿宋_GB2312" w:hAnsi="仿宋_GB2312" w:eastAsia="仿宋_GB2312" w:cs="仿宋_GB2312"/>
          <w:sz w:val="32"/>
          <w:szCs w:val="32"/>
        </w:rPr>
      </w:pPr>
    </w:p>
    <w:p w14:paraId="28B46978">
      <w:pPr>
        <w:spacing w:line="580" w:lineRule="exact"/>
        <w:ind w:firstLine="5120"/>
        <w:rPr>
          <w:rFonts w:ascii="仿宋_GB2312" w:hAnsi="仿宋_GB2312" w:eastAsia="仿宋_GB2312" w:cs="仿宋_GB2312"/>
          <w:sz w:val="32"/>
          <w:szCs w:val="32"/>
        </w:rPr>
      </w:pPr>
    </w:p>
    <w:p w14:paraId="3FC20941">
      <w:pPr>
        <w:spacing w:line="580" w:lineRule="exact"/>
        <w:ind w:firstLine="5120"/>
        <w:rPr>
          <w:rFonts w:ascii="仿宋_GB2312" w:hAnsi="仿宋_GB2312" w:eastAsia="仿宋_GB2312" w:cs="仿宋_GB2312"/>
          <w:sz w:val="32"/>
          <w:szCs w:val="32"/>
        </w:rPr>
      </w:pPr>
    </w:p>
    <w:p w14:paraId="397235B7">
      <w:pPr>
        <w:spacing w:line="580" w:lineRule="exact"/>
        <w:ind w:firstLine="5120"/>
        <w:rPr>
          <w:rFonts w:ascii="仿宋_GB2312" w:hAnsi="仿宋_GB2312" w:eastAsia="仿宋_GB2312" w:cs="仿宋_GB2312"/>
          <w:sz w:val="32"/>
          <w:szCs w:val="32"/>
        </w:rPr>
      </w:pPr>
    </w:p>
    <w:p w14:paraId="4DC2ED1F">
      <w:pPr>
        <w:spacing w:line="580" w:lineRule="exact"/>
        <w:ind w:firstLine="5120"/>
        <w:rPr>
          <w:rFonts w:ascii="仿宋_GB2312" w:hAnsi="仿宋_GB2312" w:eastAsia="仿宋_GB2312" w:cs="仿宋_GB2312"/>
          <w:sz w:val="32"/>
          <w:szCs w:val="32"/>
        </w:rPr>
      </w:pPr>
    </w:p>
    <w:p w14:paraId="657E369B">
      <w:pPr>
        <w:spacing w:line="580" w:lineRule="exact"/>
        <w:ind w:firstLine="5120"/>
        <w:rPr>
          <w:rFonts w:ascii="仿宋_GB2312" w:hAnsi="仿宋_GB2312" w:eastAsia="仿宋_GB2312" w:cs="仿宋_GB2312"/>
          <w:sz w:val="32"/>
          <w:szCs w:val="32"/>
        </w:rPr>
      </w:pPr>
    </w:p>
    <w:p w14:paraId="18E97741">
      <w:pPr>
        <w:spacing w:line="580" w:lineRule="exact"/>
        <w:ind w:firstLine="5120"/>
        <w:rPr>
          <w:rFonts w:ascii="仿宋_GB2312" w:hAnsi="仿宋_GB2312" w:eastAsia="仿宋_GB2312" w:cs="仿宋_GB2312"/>
          <w:sz w:val="32"/>
          <w:szCs w:val="32"/>
        </w:rPr>
      </w:pPr>
    </w:p>
    <w:p w14:paraId="51C23331">
      <w:pPr>
        <w:spacing w:line="580" w:lineRule="exact"/>
        <w:ind w:firstLine="5120"/>
        <w:rPr>
          <w:rFonts w:ascii="仿宋_GB2312" w:hAnsi="仿宋_GB2312" w:eastAsia="仿宋_GB2312" w:cs="仿宋_GB2312"/>
          <w:sz w:val="32"/>
          <w:szCs w:val="32"/>
        </w:rPr>
      </w:pPr>
    </w:p>
    <w:p w14:paraId="0CC29FAB">
      <w:pPr>
        <w:spacing w:line="580" w:lineRule="exact"/>
        <w:ind w:firstLine="5120"/>
        <w:rPr>
          <w:rFonts w:ascii="仿宋_GB2312" w:hAnsi="仿宋_GB2312" w:eastAsia="仿宋_GB2312" w:cs="仿宋_GB2312"/>
          <w:sz w:val="32"/>
          <w:szCs w:val="32"/>
        </w:rPr>
      </w:pPr>
    </w:p>
    <w:p w14:paraId="5736EA6D">
      <w:pPr>
        <w:spacing w:line="580" w:lineRule="exact"/>
        <w:ind w:firstLine="5120"/>
        <w:rPr>
          <w:rFonts w:ascii="仿宋_GB2312" w:hAnsi="仿宋_GB2312" w:eastAsia="仿宋_GB2312" w:cs="仿宋_GB2312"/>
          <w:sz w:val="32"/>
          <w:szCs w:val="32"/>
        </w:rPr>
      </w:pPr>
    </w:p>
    <w:p w14:paraId="3B98C835">
      <w:pPr>
        <w:spacing w:line="580" w:lineRule="exact"/>
        <w:ind w:firstLine="5120"/>
        <w:rPr>
          <w:rFonts w:ascii="仿宋_GB2312" w:hAnsi="仿宋_GB2312" w:eastAsia="仿宋_GB2312" w:cs="仿宋_GB2312"/>
          <w:sz w:val="32"/>
          <w:szCs w:val="32"/>
        </w:rPr>
      </w:pPr>
    </w:p>
    <w:p w14:paraId="192687A0">
      <w:pPr>
        <w:spacing w:line="580" w:lineRule="exact"/>
        <w:ind w:firstLine="5120"/>
        <w:rPr>
          <w:rFonts w:ascii="仿宋_GB2312" w:hAnsi="仿宋_GB2312" w:eastAsia="仿宋_GB2312" w:cs="仿宋_GB2312"/>
          <w:sz w:val="32"/>
          <w:szCs w:val="32"/>
        </w:rPr>
      </w:pPr>
    </w:p>
    <w:p w14:paraId="223BCD06">
      <w:pPr>
        <w:spacing w:line="580" w:lineRule="exact"/>
        <w:ind w:firstLine="5120"/>
        <w:rPr>
          <w:rFonts w:ascii="仿宋_GB2312" w:hAnsi="仿宋_GB2312" w:eastAsia="仿宋_GB2312" w:cs="仿宋_GB2312"/>
          <w:sz w:val="32"/>
          <w:szCs w:val="32"/>
        </w:rPr>
      </w:pPr>
    </w:p>
    <w:p w14:paraId="36E6F517">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山丹县机关事务中心</w:t>
      </w:r>
    </w:p>
    <w:p w14:paraId="33DD2CEA">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创意中心礼堂、中厅及机关食堂维修改造经费项目支出绩效自评报告</w:t>
      </w:r>
    </w:p>
    <w:p w14:paraId="27E50435">
      <w:pPr>
        <w:spacing w:line="580" w:lineRule="exact"/>
        <w:rPr>
          <w:rFonts w:ascii="方正小标宋简体" w:eastAsia="方正小标宋简体"/>
          <w:sz w:val="44"/>
          <w:szCs w:val="44"/>
        </w:rPr>
      </w:pPr>
    </w:p>
    <w:p w14:paraId="5BEB898B">
      <w:pPr>
        <w:spacing w:line="580" w:lineRule="exact"/>
        <w:ind w:firstLine="640"/>
        <w:rPr>
          <w:rFonts w:eastAsia="黑体"/>
          <w:sz w:val="32"/>
          <w:szCs w:val="32"/>
        </w:rPr>
      </w:pPr>
      <w:r>
        <w:rPr>
          <w:rFonts w:hint="eastAsia" w:eastAsia="黑体"/>
          <w:sz w:val="32"/>
          <w:szCs w:val="32"/>
        </w:rPr>
        <w:t>一、项目基本情况</w:t>
      </w:r>
    </w:p>
    <w:p w14:paraId="49E4520F">
      <w:pPr>
        <w:spacing w:line="580" w:lineRule="exact"/>
        <w:ind w:firstLine="643"/>
        <w:rPr>
          <w:rFonts w:ascii="楷体_GB2312" w:eastAsia="楷体_GB2312"/>
          <w:b/>
          <w:sz w:val="32"/>
          <w:szCs w:val="32"/>
        </w:rPr>
      </w:pPr>
      <w:r>
        <w:rPr>
          <w:rFonts w:hint="eastAsia" w:ascii="楷体_GB2312" w:eastAsia="楷体_GB2312"/>
          <w:b/>
          <w:sz w:val="32"/>
          <w:szCs w:val="32"/>
        </w:rPr>
        <w:t>（一）项目概况</w:t>
      </w:r>
    </w:p>
    <w:p w14:paraId="256DF4B1">
      <w:pPr>
        <w:spacing w:line="580" w:lineRule="exact"/>
        <w:ind w:firstLine="640"/>
        <w:rPr>
          <w:rFonts w:ascii="仿宋_GB2312" w:eastAsia="仿宋_GB2312"/>
          <w:sz w:val="32"/>
          <w:szCs w:val="32"/>
        </w:rPr>
      </w:pPr>
      <w:r>
        <w:rPr>
          <w:rFonts w:hint="eastAsia" w:ascii="仿宋_GB2312" w:eastAsia="仿宋_GB2312"/>
          <w:sz w:val="32"/>
          <w:szCs w:val="32"/>
        </w:rPr>
        <w:t>县文化旅游创意中心礼堂、中厅因垫层土方下沉，导致礼堂观众席、中厅地面整体塌陷及机关食堂外围台阶塌陷。县住建局和甘肃天工工程管理咨询有限公司现场勘测并给出亟需维修改造的专业性建议。县财政投资评审中心委托甘肃惠泽项目管理有限公司对维修改造项目进行评审，审定金额 4353213.05 元，此项经费未列入2023年县财政预算。根据《甘肃省省级党政机关事业单位办公用房维修改造实施办法》的规定，申请将维修改造经费列入县财政预算。</w:t>
      </w:r>
    </w:p>
    <w:p w14:paraId="5426B46E">
      <w:pPr>
        <w:spacing w:line="580" w:lineRule="exact"/>
        <w:ind w:firstLine="640"/>
        <w:rPr>
          <w:rFonts w:ascii="仿宋_GB2312" w:eastAsia="仿宋_GB2312"/>
          <w:sz w:val="32"/>
          <w:szCs w:val="32"/>
        </w:rPr>
      </w:pPr>
      <w:r>
        <w:rPr>
          <w:rFonts w:hint="eastAsia" w:ascii="仿宋_GB2312" w:eastAsia="仿宋_GB2312"/>
          <w:sz w:val="32"/>
          <w:szCs w:val="32"/>
        </w:rPr>
        <w:t>根据</w:t>
      </w:r>
      <w:r>
        <w:rPr>
          <w:rFonts w:hint="eastAsia" w:ascii="仿宋_GB2312" w:hAnsi="仿宋_GB2312" w:eastAsia="仿宋_GB2312" w:cs="仿宋_GB2312"/>
          <w:sz w:val="32"/>
          <w:szCs w:val="32"/>
        </w:rPr>
        <w:t>《</w:t>
      </w:r>
      <w:r>
        <w:rPr>
          <w:rFonts w:hint="eastAsia" w:ascii="仿宋_GB2312" w:eastAsia="仿宋_GB2312"/>
          <w:sz w:val="32"/>
          <w:szCs w:val="32"/>
        </w:rPr>
        <w:t>关于将文化旅游创意中心礼堂、中厅及机关食堂维修改造经费列入财政预算的请示</w:t>
      </w:r>
      <w:r>
        <w:rPr>
          <w:rFonts w:hint="eastAsia" w:ascii="仿宋_GB2312" w:hAnsi="仿宋_GB2312" w:eastAsia="仿宋_GB2312" w:cs="仿宋_GB2312"/>
          <w:sz w:val="32"/>
          <w:szCs w:val="32"/>
        </w:rPr>
        <w:t>》（</w:t>
      </w:r>
      <w:r>
        <w:rPr>
          <w:rFonts w:hint="eastAsia" w:ascii="仿宋_GB2312" w:eastAsia="仿宋_GB2312"/>
          <w:sz w:val="32"/>
          <w:szCs w:val="32"/>
        </w:rPr>
        <w:t>山机事务[2023]15号</w:t>
      </w:r>
      <w:r>
        <w:rPr>
          <w:rFonts w:hint="eastAsia" w:ascii="仿宋_GB2312" w:hAnsi="仿宋_GB2312" w:eastAsia="仿宋_GB2312" w:cs="仿宋_GB2312"/>
          <w:sz w:val="32"/>
          <w:szCs w:val="32"/>
        </w:rPr>
        <w:t>）文件精神</w:t>
      </w:r>
      <w:r>
        <w:rPr>
          <w:rFonts w:hint="eastAsia" w:ascii="仿宋_GB2312" w:eastAsia="仿宋_GB2312"/>
          <w:sz w:val="32"/>
          <w:szCs w:val="32"/>
        </w:rPr>
        <w:t>，财政拨付我中心创意中心礼堂、中厅及机关食堂维修改造项目资金80万元，</w:t>
      </w:r>
    </w:p>
    <w:p w14:paraId="355E659C">
      <w:pPr>
        <w:spacing w:line="580" w:lineRule="exact"/>
        <w:ind w:firstLine="643"/>
        <w:rPr>
          <w:rFonts w:ascii="楷体_GB2312" w:eastAsia="楷体_GB2312"/>
          <w:b/>
          <w:sz w:val="32"/>
          <w:szCs w:val="32"/>
        </w:rPr>
      </w:pPr>
      <w:r>
        <w:rPr>
          <w:rFonts w:hint="eastAsia" w:ascii="楷体_GB2312" w:eastAsia="楷体_GB2312"/>
          <w:b/>
          <w:sz w:val="32"/>
          <w:szCs w:val="32"/>
        </w:rPr>
        <w:t>（二）项目绩效目标</w:t>
      </w:r>
    </w:p>
    <w:p w14:paraId="1E85CABB">
      <w:pPr>
        <w:spacing w:line="580" w:lineRule="exact"/>
        <w:ind w:firstLine="640"/>
        <w:rPr>
          <w:rFonts w:ascii="仿宋_GB2312" w:hAnsi="黑体" w:eastAsia="仿宋_GB2312"/>
          <w:sz w:val="32"/>
          <w:szCs w:val="32"/>
        </w:rPr>
      </w:pPr>
      <w:r>
        <w:rPr>
          <w:rFonts w:hint="eastAsia" w:ascii="仿宋_GB2312" w:hAnsi="黑体" w:eastAsia="仿宋_GB2312"/>
          <w:sz w:val="32"/>
          <w:szCs w:val="32"/>
        </w:rPr>
        <w:t>严格按照合同规定，</w:t>
      </w:r>
      <w:r>
        <w:rPr>
          <w:rFonts w:hint="eastAsia" w:ascii="仿宋_GB2312" w:eastAsia="仿宋_GB2312"/>
          <w:sz w:val="32"/>
          <w:szCs w:val="32"/>
        </w:rPr>
        <w:t>对创意中心礼堂、中厅及机关食堂进行维修改造，</w:t>
      </w:r>
      <w:r>
        <w:rPr>
          <w:rFonts w:hint="eastAsia" w:ascii="仿宋_GB2312" w:hAnsi="黑体" w:eastAsia="仿宋_GB2312"/>
          <w:sz w:val="32"/>
          <w:szCs w:val="32"/>
        </w:rPr>
        <w:t>保障机关工作正常运行。</w:t>
      </w:r>
    </w:p>
    <w:p w14:paraId="57EB2FB9">
      <w:pPr>
        <w:spacing w:line="580" w:lineRule="exact"/>
        <w:ind w:firstLine="643"/>
        <w:rPr>
          <w:rFonts w:ascii="黑体" w:hAnsi="黑体" w:eastAsia="黑体"/>
          <w:sz w:val="32"/>
          <w:szCs w:val="32"/>
        </w:rPr>
      </w:pPr>
      <w:r>
        <w:rPr>
          <w:rFonts w:hint="eastAsia" w:ascii="楷体_GB2312" w:eastAsia="楷体_GB2312"/>
          <w:b/>
          <w:sz w:val="32"/>
          <w:szCs w:val="32"/>
        </w:rPr>
        <w:t>（四）单位职能职责</w:t>
      </w:r>
    </w:p>
    <w:p w14:paraId="2CFA80C9">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制定县直机关后勤事务工作规划，并组织实施促进全县机关后勤工作的改革和发展；负责政府行政机关场所内的各类房产、公共设施等国有资产的管理及维修改造；负责政府行政机关场所内水、电、暖供应和设施设备管理等后勤保障工作；负责政府行政机关场所文明创建、园林绿化、</w:t>
      </w:r>
      <w:r>
        <w:rPr>
          <w:rFonts w:hint="eastAsia" w:ascii="仿宋_GB2312" w:hAnsi="仿宋_GB2312" w:eastAsia="仿宋_GB2312" w:cs="仿宋_GB2312"/>
          <w:sz w:val="32"/>
          <w:szCs w:val="32"/>
          <w:lang w:val="en-US" w:eastAsia="zh-CN"/>
        </w:rPr>
        <w:t>环</w:t>
      </w:r>
      <w:r>
        <w:rPr>
          <w:rFonts w:hint="eastAsia" w:ascii="仿宋_GB2312" w:hAnsi="仿宋_GB2312" w:eastAsia="仿宋_GB2312" w:cs="仿宋_GB2312"/>
          <w:sz w:val="32"/>
          <w:szCs w:val="32"/>
        </w:rPr>
        <w:t>境卫生、社会治安、安全保卫、消防安全、会议服务、政府食堂管理等工作；负责全县公共机构节能工作；负责全县的公车管理、维修保养、调度使用、费用结算等工作，县级调研接待用车、司勤人员工资、车辆运行维护费用等公车相关工作；承办县委、人大、政府、政协交办的其他事项。</w:t>
      </w:r>
    </w:p>
    <w:p w14:paraId="54B87A6B">
      <w:pPr>
        <w:spacing w:line="580" w:lineRule="exact"/>
        <w:ind w:firstLine="640"/>
        <w:rPr>
          <w:rFonts w:ascii="黑体" w:hAnsi="黑体" w:eastAsia="黑体"/>
          <w:sz w:val="32"/>
          <w:szCs w:val="32"/>
        </w:rPr>
      </w:pPr>
      <w:r>
        <w:rPr>
          <w:rFonts w:hint="eastAsia" w:ascii="黑体" w:hAnsi="黑体" w:eastAsia="黑体"/>
          <w:sz w:val="32"/>
          <w:szCs w:val="32"/>
        </w:rPr>
        <w:t>二、项目资金情况</w:t>
      </w:r>
    </w:p>
    <w:p w14:paraId="770866B5">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全年预算数80万元，</w:t>
      </w:r>
      <w:r>
        <w:rPr>
          <w:rFonts w:hint="eastAsia" w:ascii="仿宋_GB2312" w:eastAsia="仿宋_GB2312"/>
          <w:sz w:val="32"/>
          <w:szCs w:val="32"/>
        </w:rPr>
        <w:t>创意中心礼堂、中厅及机关食堂维修改造资金</w:t>
      </w:r>
      <w:r>
        <w:rPr>
          <w:rFonts w:hint="eastAsia" w:ascii="仿宋_GB2312" w:hAnsi="仿宋_GB2312" w:eastAsia="仿宋_GB2312" w:cs="仿宋_GB2312"/>
          <w:sz w:val="32"/>
          <w:szCs w:val="32"/>
        </w:rPr>
        <w:t>执行数80万元，预算执行率100%。</w:t>
      </w:r>
    </w:p>
    <w:p w14:paraId="05503153">
      <w:pPr>
        <w:spacing w:line="580" w:lineRule="exact"/>
        <w:ind w:firstLine="640"/>
        <w:rPr>
          <w:rFonts w:ascii="黑体" w:hAnsi="黑体" w:eastAsia="黑体"/>
          <w:sz w:val="32"/>
          <w:szCs w:val="32"/>
        </w:rPr>
      </w:pPr>
      <w:r>
        <w:rPr>
          <w:rFonts w:hint="eastAsia" w:ascii="黑体" w:hAnsi="黑体" w:eastAsia="黑体"/>
          <w:sz w:val="32"/>
          <w:szCs w:val="32"/>
        </w:rPr>
        <w:t>三、绩效目标完成情况及效益分析</w:t>
      </w:r>
    </w:p>
    <w:p w14:paraId="4DE593F6">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产出指标中预计完成时间为2023年12月31日前，实际于2023年6月30日前完成，时效指标中及时对工程完工情况进行了验收；质量指标中产品质量合格；效益指标提高了单位整体运转水平，所有绩效指标值均达到预期目标。</w:t>
      </w:r>
    </w:p>
    <w:p w14:paraId="78B31252">
      <w:pPr>
        <w:spacing w:line="580" w:lineRule="exact"/>
        <w:ind w:firstLine="640"/>
        <w:rPr>
          <w:rFonts w:ascii="黑体" w:hAnsi="黑体" w:eastAsia="黑体"/>
          <w:sz w:val="32"/>
          <w:szCs w:val="32"/>
        </w:rPr>
      </w:pPr>
      <w:r>
        <w:rPr>
          <w:rFonts w:hint="eastAsia" w:ascii="黑体" w:hAnsi="黑体" w:eastAsia="黑体"/>
          <w:sz w:val="32"/>
          <w:szCs w:val="32"/>
        </w:rPr>
        <w:t>四、自评结论</w:t>
      </w:r>
    </w:p>
    <w:p w14:paraId="532EC31D">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一是我中心高度重视项目评价工作，开展了绩效评价工作，促进了评价具体工作的落实。把绩效评价工作列入重要议事日程，切实抓紧抓好。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是充分认识和发挥自身预算绩效管理作用，制定具体措施，切实做好本部门的预算绩效监控工作。确定专人，将项目绩效运行工作责任落到实处。在具体工作中，共同配合，促进绩效评价工作的规范、有序、顺利开展。</w:t>
      </w:r>
    </w:p>
    <w:p w14:paraId="562B9E59">
      <w:pPr>
        <w:numPr>
          <w:ilvl w:val="0"/>
          <w:numId w:val="4"/>
        </w:numPr>
        <w:spacing w:line="580" w:lineRule="exact"/>
        <w:ind w:firstLine="640"/>
        <w:rPr>
          <w:rFonts w:ascii="黑体" w:hAnsi="黑体" w:eastAsia="黑体"/>
          <w:sz w:val="32"/>
          <w:szCs w:val="32"/>
        </w:rPr>
      </w:pPr>
      <w:r>
        <w:rPr>
          <w:rFonts w:hint="eastAsia" w:ascii="黑体" w:hAnsi="黑体" w:eastAsia="黑体"/>
          <w:sz w:val="32"/>
          <w:szCs w:val="32"/>
        </w:rPr>
        <w:t>存在的问题</w:t>
      </w:r>
    </w:p>
    <w:p w14:paraId="22A31029">
      <w:pPr>
        <w:spacing w:line="580" w:lineRule="exact"/>
        <w:ind w:firstLine="640"/>
        <w:rPr>
          <w:rFonts w:ascii="黑体" w:hAnsi="黑体" w:eastAsia="黑体"/>
          <w:sz w:val="32"/>
          <w:szCs w:val="32"/>
        </w:rPr>
      </w:pPr>
      <w:r>
        <w:rPr>
          <w:rFonts w:hint="eastAsia" w:ascii="仿宋_GB2312" w:hAnsi="仿宋_GB2312" w:eastAsia="仿宋_GB2312" w:cs="仿宋_GB2312"/>
          <w:sz w:val="32"/>
          <w:szCs w:val="32"/>
        </w:rPr>
        <w:t>一是各个办公楼会议室很多设备设施陈旧、淘汰，部分设备年久失修，处于瘫痪或半瘫疾差误，丞需维修、更新。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二是会议室项目经费难以维持行政会议中心提升改造需要，部分需换新设备设施因费用制约，仍以维修为主，基本保证正常运行，机关人员对此存在不太满意现象。</w:t>
      </w:r>
    </w:p>
    <w:p w14:paraId="117B8B08">
      <w:pPr>
        <w:numPr>
          <w:ilvl w:val="0"/>
          <w:numId w:val="4"/>
        </w:numPr>
        <w:spacing w:line="580" w:lineRule="exact"/>
        <w:ind w:firstLine="640"/>
        <w:rPr>
          <w:rFonts w:ascii="黑体" w:hAnsi="黑体" w:eastAsia="黑体"/>
          <w:sz w:val="32"/>
          <w:szCs w:val="32"/>
        </w:rPr>
      </w:pPr>
      <w:r>
        <w:rPr>
          <w:rFonts w:hint="eastAsia" w:ascii="黑体" w:hAnsi="黑体" w:eastAsia="黑体"/>
          <w:sz w:val="32"/>
          <w:szCs w:val="32"/>
        </w:rPr>
        <w:t>相关建议</w:t>
      </w:r>
    </w:p>
    <w:p w14:paraId="2CD6332D">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鉴于以上存在的问题，建议财政部门加大资金投入力度，提升项目服务、保障能力。</w:t>
      </w:r>
    </w:p>
    <w:p w14:paraId="1E8EFF81">
      <w:pPr>
        <w:spacing w:line="580" w:lineRule="exact"/>
        <w:ind w:firstLine="640"/>
        <w:rPr>
          <w:rFonts w:ascii="仿宋_GB2312" w:hAnsi="仿宋_GB2312" w:eastAsia="仿宋_GB2312" w:cs="仿宋_GB2312"/>
          <w:sz w:val="32"/>
          <w:szCs w:val="32"/>
        </w:rPr>
      </w:pPr>
    </w:p>
    <w:p w14:paraId="2809A5C1">
      <w:pPr>
        <w:spacing w:line="580" w:lineRule="exact"/>
        <w:ind w:firstLine="5120"/>
        <w:rPr>
          <w:rFonts w:ascii="仿宋_GB2312" w:hAnsi="仿宋_GB2312" w:eastAsia="仿宋_GB2312" w:cs="仿宋_GB2312"/>
          <w:sz w:val="32"/>
          <w:szCs w:val="32"/>
        </w:rPr>
      </w:pPr>
    </w:p>
    <w:p w14:paraId="506E11D7">
      <w:pPr>
        <w:spacing w:line="580" w:lineRule="exact"/>
        <w:ind w:firstLine="5120"/>
        <w:rPr>
          <w:rFonts w:ascii="仿宋_GB2312" w:hAnsi="仿宋_GB2312" w:eastAsia="仿宋_GB2312" w:cs="仿宋_GB2312"/>
          <w:sz w:val="32"/>
          <w:szCs w:val="32"/>
        </w:rPr>
      </w:pPr>
    </w:p>
    <w:p w14:paraId="59C5E13A">
      <w:pPr>
        <w:spacing w:line="580" w:lineRule="exact"/>
        <w:ind w:firstLine="5120"/>
        <w:rPr>
          <w:rFonts w:ascii="仿宋_GB2312" w:hAnsi="仿宋_GB2312" w:eastAsia="仿宋_GB2312" w:cs="仿宋_GB2312"/>
          <w:sz w:val="32"/>
          <w:szCs w:val="32"/>
        </w:rPr>
      </w:pPr>
    </w:p>
    <w:p w14:paraId="488C50AD">
      <w:pPr>
        <w:spacing w:line="580" w:lineRule="exact"/>
        <w:ind w:firstLine="5120"/>
        <w:rPr>
          <w:rFonts w:ascii="仿宋_GB2312" w:hAnsi="仿宋_GB2312" w:eastAsia="仿宋_GB2312" w:cs="仿宋_GB2312"/>
          <w:sz w:val="32"/>
          <w:szCs w:val="32"/>
        </w:rPr>
      </w:pPr>
    </w:p>
    <w:p w14:paraId="69C4A555">
      <w:pPr>
        <w:spacing w:line="580" w:lineRule="exact"/>
        <w:ind w:firstLine="5120"/>
        <w:rPr>
          <w:rFonts w:ascii="仿宋_GB2312" w:hAnsi="仿宋_GB2312" w:eastAsia="仿宋_GB2312" w:cs="仿宋_GB2312"/>
          <w:sz w:val="32"/>
          <w:szCs w:val="32"/>
        </w:rPr>
      </w:pPr>
    </w:p>
    <w:p w14:paraId="78BF3795">
      <w:pPr>
        <w:spacing w:line="580" w:lineRule="exact"/>
        <w:ind w:firstLine="5120"/>
        <w:rPr>
          <w:rFonts w:ascii="仿宋_GB2312" w:hAnsi="仿宋_GB2312" w:eastAsia="仿宋_GB2312" w:cs="仿宋_GB2312"/>
          <w:sz w:val="32"/>
          <w:szCs w:val="32"/>
        </w:rPr>
      </w:pPr>
    </w:p>
    <w:p w14:paraId="70125F26">
      <w:pPr>
        <w:spacing w:line="580" w:lineRule="exact"/>
        <w:ind w:firstLine="5120"/>
        <w:rPr>
          <w:rFonts w:ascii="仿宋_GB2312" w:hAnsi="仿宋_GB2312" w:eastAsia="仿宋_GB2312" w:cs="仿宋_GB2312"/>
          <w:sz w:val="32"/>
          <w:szCs w:val="32"/>
        </w:rPr>
      </w:pPr>
    </w:p>
    <w:p w14:paraId="04847896">
      <w:pPr>
        <w:spacing w:line="580" w:lineRule="exact"/>
        <w:ind w:firstLine="5120"/>
        <w:rPr>
          <w:rFonts w:ascii="仿宋_GB2312" w:hAnsi="仿宋_GB2312" w:eastAsia="仿宋_GB2312" w:cs="仿宋_GB2312"/>
          <w:sz w:val="32"/>
          <w:szCs w:val="32"/>
        </w:rPr>
      </w:pPr>
    </w:p>
    <w:p w14:paraId="67085DAD">
      <w:pPr>
        <w:spacing w:line="580" w:lineRule="exact"/>
        <w:ind w:firstLine="5120"/>
        <w:rPr>
          <w:rFonts w:ascii="仿宋_GB2312" w:hAnsi="仿宋_GB2312" w:eastAsia="仿宋_GB2312" w:cs="仿宋_GB2312"/>
          <w:sz w:val="32"/>
          <w:szCs w:val="32"/>
        </w:rPr>
      </w:pPr>
    </w:p>
    <w:p w14:paraId="182E6C0B">
      <w:pPr>
        <w:spacing w:line="580" w:lineRule="exact"/>
        <w:ind w:firstLine="5120"/>
        <w:rPr>
          <w:rFonts w:ascii="仿宋_GB2312" w:hAnsi="仿宋_GB2312" w:eastAsia="仿宋_GB2312" w:cs="仿宋_GB2312"/>
          <w:sz w:val="32"/>
          <w:szCs w:val="32"/>
        </w:rPr>
      </w:pPr>
    </w:p>
    <w:p w14:paraId="78C75E18">
      <w:pPr>
        <w:spacing w:line="580" w:lineRule="exact"/>
        <w:ind w:firstLine="5120"/>
        <w:rPr>
          <w:rFonts w:ascii="仿宋_GB2312" w:hAnsi="仿宋_GB2312" w:eastAsia="仿宋_GB2312" w:cs="仿宋_GB2312"/>
          <w:sz w:val="32"/>
          <w:szCs w:val="32"/>
        </w:rPr>
      </w:pPr>
    </w:p>
    <w:p w14:paraId="055E732D">
      <w:pPr>
        <w:spacing w:line="580" w:lineRule="exact"/>
        <w:ind w:firstLine="5120"/>
        <w:rPr>
          <w:rFonts w:ascii="仿宋_GB2312" w:hAnsi="仿宋_GB2312" w:eastAsia="仿宋_GB2312" w:cs="仿宋_GB2312"/>
          <w:sz w:val="32"/>
          <w:szCs w:val="32"/>
        </w:rPr>
      </w:pPr>
    </w:p>
    <w:p w14:paraId="2350458C">
      <w:pPr>
        <w:spacing w:line="580" w:lineRule="exact"/>
        <w:ind w:firstLine="5120"/>
        <w:rPr>
          <w:rFonts w:ascii="仿宋_GB2312" w:hAnsi="仿宋_GB2312" w:eastAsia="仿宋_GB2312" w:cs="仿宋_GB2312"/>
          <w:sz w:val="32"/>
          <w:szCs w:val="32"/>
        </w:rPr>
      </w:pPr>
    </w:p>
    <w:p w14:paraId="2F153EC4">
      <w:pPr>
        <w:spacing w:line="580" w:lineRule="exact"/>
        <w:ind w:firstLine="5120"/>
        <w:rPr>
          <w:rFonts w:ascii="仿宋_GB2312" w:hAnsi="仿宋_GB2312" w:eastAsia="仿宋_GB2312" w:cs="仿宋_GB2312"/>
          <w:sz w:val="32"/>
          <w:szCs w:val="32"/>
        </w:rPr>
      </w:pPr>
    </w:p>
    <w:p w14:paraId="72499DA2">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山丹县机关事务中心</w:t>
      </w:r>
    </w:p>
    <w:p w14:paraId="098B8732">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公车购置费用支出绩效自评报告</w:t>
      </w:r>
    </w:p>
    <w:p w14:paraId="6A63F73A">
      <w:pPr>
        <w:spacing w:line="580" w:lineRule="exact"/>
        <w:rPr>
          <w:rFonts w:ascii="方正小标宋简体" w:eastAsia="方正小标宋简体"/>
          <w:sz w:val="44"/>
          <w:szCs w:val="44"/>
        </w:rPr>
      </w:pPr>
    </w:p>
    <w:p w14:paraId="57007F8D">
      <w:pPr>
        <w:spacing w:line="580" w:lineRule="exact"/>
        <w:ind w:firstLine="640"/>
        <w:rPr>
          <w:rFonts w:eastAsia="黑体"/>
          <w:sz w:val="32"/>
          <w:szCs w:val="32"/>
        </w:rPr>
      </w:pPr>
      <w:r>
        <w:rPr>
          <w:rFonts w:hint="eastAsia" w:eastAsia="黑体"/>
          <w:sz w:val="32"/>
          <w:szCs w:val="32"/>
        </w:rPr>
        <w:t>一、项目基本情况</w:t>
      </w:r>
    </w:p>
    <w:p w14:paraId="116D79F0">
      <w:pPr>
        <w:spacing w:line="580" w:lineRule="exact"/>
        <w:ind w:firstLine="643"/>
        <w:rPr>
          <w:rFonts w:ascii="楷体_GB2312" w:eastAsia="楷体_GB2312"/>
          <w:b/>
          <w:sz w:val="32"/>
          <w:szCs w:val="32"/>
        </w:rPr>
      </w:pPr>
      <w:r>
        <w:rPr>
          <w:rFonts w:hint="eastAsia" w:ascii="楷体_GB2312" w:eastAsia="楷体_GB2312"/>
          <w:b/>
          <w:sz w:val="32"/>
          <w:szCs w:val="32"/>
        </w:rPr>
        <w:t>（一）项目概况</w:t>
      </w:r>
    </w:p>
    <w:p w14:paraId="277C268F">
      <w:pPr>
        <w:spacing w:line="580" w:lineRule="exact"/>
        <w:ind w:firstLine="640"/>
        <w:rPr>
          <w:rFonts w:ascii="仿宋_GB2312" w:hAnsi="黑体" w:eastAsia="仿宋_GB2312"/>
          <w:sz w:val="32"/>
          <w:szCs w:val="32"/>
        </w:rPr>
      </w:pPr>
      <w:r>
        <w:rPr>
          <w:rFonts w:ascii="仿宋_GB2312" w:hAnsi="黑体" w:eastAsia="仿宋_GB2312"/>
          <w:sz w:val="32"/>
          <w:szCs w:val="32"/>
        </w:rPr>
        <w:t>根据</w:t>
      </w:r>
      <w:r>
        <w:rPr>
          <w:rFonts w:hint="eastAsia" w:ascii="仿宋_GB2312" w:hAnsi="黑体" w:eastAsia="仿宋_GB2312"/>
          <w:sz w:val="32"/>
          <w:szCs w:val="32"/>
        </w:rPr>
        <w:t>山丹县财政局</w:t>
      </w:r>
      <w:r>
        <w:rPr>
          <w:rFonts w:hint="eastAsia" w:ascii="仿宋_GB2312" w:hAnsi="仿宋_GB2312" w:eastAsia="仿宋_GB2312" w:cs="仿宋_GB2312"/>
          <w:sz w:val="32"/>
          <w:szCs w:val="32"/>
        </w:rPr>
        <w:t>《关于批复下达2023年部门预算的通知》（山财预[2022]66号）文件精神，2023年年初下达公务用车预算经费80万元。</w:t>
      </w:r>
    </w:p>
    <w:p w14:paraId="20317E3A">
      <w:pPr>
        <w:spacing w:line="580" w:lineRule="exact"/>
        <w:ind w:firstLine="643"/>
        <w:rPr>
          <w:rFonts w:ascii="楷体_GB2312" w:eastAsia="楷体_GB2312"/>
          <w:b/>
          <w:sz w:val="32"/>
          <w:szCs w:val="32"/>
        </w:rPr>
      </w:pPr>
      <w:r>
        <w:rPr>
          <w:rFonts w:hint="eastAsia" w:ascii="楷体_GB2312" w:eastAsia="楷体_GB2312"/>
          <w:b/>
          <w:sz w:val="32"/>
          <w:szCs w:val="32"/>
        </w:rPr>
        <w:t>（二）项目绩效目标</w:t>
      </w:r>
    </w:p>
    <w:p w14:paraId="56D78E7E">
      <w:pPr>
        <w:spacing w:line="580" w:lineRule="exact"/>
        <w:ind w:firstLine="640"/>
        <w:rPr>
          <w:rFonts w:ascii="仿宋_GB2312" w:hAnsi="黑体" w:eastAsia="仿宋_GB2312"/>
          <w:sz w:val="32"/>
          <w:szCs w:val="32"/>
        </w:rPr>
      </w:pPr>
      <w:r>
        <w:rPr>
          <w:rFonts w:hint="eastAsia" w:ascii="仿宋_GB2312" w:hAnsi="黑体" w:eastAsia="仿宋_GB2312"/>
          <w:sz w:val="32"/>
          <w:szCs w:val="32"/>
        </w:rPr>
        <w:t>公车购置费用80万元。</w:t>
      </w:r>
    </w:p>
    <w:p w14:paraId="5D4A19DD">
      <w:pPr>
        <w:spacing w:line="580" w:lineRule="exact"/>
        <w:ind w:firstLine="643"/>
        <w:rPr>
          <w:rFonts w:ascii="黑体" w:hAnsi="黑体" w:eastAsia="黑体"/>
          <w:sz w:val="32"/>
          <w:szCs w:val="32"/>
        </w:rPr>
      </w:pPr>
      <w:r>
        <w:rPr>
          <w:rFonts w:hint="eastAsia" w:ascii="楷体_GB2312" w:eastAsia="楷体_GB2312"/>
          <w:b/>
          <w:sz w:val="32"/>
          <w:szCs w:val="32"/>
        </w:rPr>
        <w:t>（四）单位职能职责</w:t>
      </w:r>
    </w:p>
    <w:p w14:paraId="29695DD7">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制定县直机关后勤事务工作规划，并组织实施促进全县机关后勤工作的改革和发展；负责政府行政机关场所内的各类房产、公共设施等国有资产的管理及维修改造；负责政府行政机关场所内水、电、暖供应和设施设备管理等后勤保障工作；负责政府行政机关场所文明创建、园林绿化、</w:t>
      </w:r>
      <w:r>
        <w:rPr>
          <w:rFonts w:hint="eastAsia" w:ascii="仿宋_GB2312" w:hAnsi="仿宋_GB2312" w:eastAsia="仿宋_GB2312" w:cs="仿宋_GB2312"/>
          <w:sz w:val="32"/>
          <w:szCs w:val="32"/>
          <w:lang w:val="en-US" w:eastAsia="zh-CN"/>
        </w:rPr>
        <w:t>环</w:t>
      </w:r>
      <w:r>
        <w:rPr>
          <w:rFonts w:hint="eastAsia" w:ascii="仿宋_GB2312" w:hAnsi="仿宋_GB2312" w:eastAsia="仿宋_GB2312" w:cs="仿宋_GB2312"/>
          <w:sz w:val="32"/>
          <w:szCs w:val="32"/>
        </w:rPr>
        <w:t>境卫生、社会治安、安全保卫、消防安全、会议服务、政府食堂管理等工作；负责全县公共机构节能工作；负责全县的公车管理、维修保养、调度使用、费用结算等工作，县级调研接待用车、司勤人员工资、车辆运行维护费用等公车相关工作；承办县委、人大、政府、政协交办的其他事项。</w:t>
      </w:r>
    </w:p>
    <w:p w14:paraId="1B5E5996">
      <w:pPr>
        <w:spacing w:line="580" w:lineRule="exact"/>
        <w:ind w:firstLine="640"/>
        <w:rPr>
          <w:rFonts w:ascii="黑体" w:hAnsi="黑体" w:eastAsia="黑体"/>
          <w:sz w:val="32"/>
          <w:szCs w:val="32"/>
        </w:rPr>
      </w:pPr>
      <w:r>
        <w:rPr>
          <w:rFonts w:hint="eastAsia" w:ascii="黑体" w:hAnsi="黑体" w:eastAsia="黑体"/>
          <w:sz w:val="32"/>
          <w:szCs w:val="32"/>
        </w:rPr>
        <w:t>二、项目资金情况</w:t>
      </w:r>
    </w:p>
    <w:p w14:paraId="6CDD47B9">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全年预算数80万元，购置4辆公车执行数71.92万元，预算执行率90%。</w:t>
      </w:r>
    </w:p>
    <w:p w14:paraId="523DABDB">
      <w:pPr>
        <w:spacing w:line="580" w:lineRule="exact"/>
        <w:ind w:firstLine="640"/>
        <w:rPr>
          <w:rFonts w:ascii="黑体" w:hAnsi="黑体" w:eastAsia="黑体"/>
          <w:sz w:val="32"/>
          <w:szCs w:val="32"/>
        </w:rPr>
      </w:pPr>
      <w:r>
        <w:rPr>
          <w:rFonts w:hint="eastAsia" w:ascii="黑体" w:hAnsi="黑体" w:eastAsia="黑体"/>
          <w:sz w:val="32"/>
          <w:szCs w:val="32"/>
        </w:rPr>
        <w:t>三、绩效目标完成情况及效益分析</w:t>
      </w:r>
    </w:p>
    <w:p w14:paraId="6CB3868E">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产出指标中预计完成时间为2023年12月31日前，实际于2023年5月31日前完成；预计成本控制在80万元以内，实际成本71.92万元。满意度指标中预计服务对象满意率好，实际服务对象满意率好。所有绩效指标值均达到预期目标。</w:t>
      </w:r>
    </w:p>
    <w:p w14:paraId="3F78D96A">
      <w:pPr>
        <w:spacing w:line="580" w:lineRule="exact"/>
        <w:ind w:firstLine="640"/>
        <w:rPr>
          <w:rFonts w:ascii="黑体" w:hAnsi="黑体" w:eastAsia="黑体"/>
          <w:sz w:val="32"/>
          <w:szCs w:val="32"/>
        </w:rPr>
      </w:pPr>
      <w:r>
        <w:rPr>
          <w:rFonts w:hint="eastAsia" w:ascii="黑体" w:hAnsi="黑体" w:eastAsia="黑体"/>
          <w:sz w:val="32"/>
          <w:szCs w:val="32"/>
        </w:rPr>
        <w:t>四、自评结论</w:t>
      </w:r>
    </w:p>
    <w:p w14:paraId="51DEE111">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本项目自评得分94分，达到预期绩效目标。</w:t>
      </w:r>
    </w:p>
    <w:p w14:paraId="30A815AD">
      <w:pPr>
        <w:numPr>
          <w:ilvl w:val="0"/>
          <w:numId w:val="4"/>
        </w:numPr>
        <w:spacing w:line="580" w:lineRule="exact"/>
        <w:ind w:firstLine="640"/>
        <w:rPr>
          <w:rFonts w:ascii="黑体" w:hAnsi="黑体" w:eastAsia="黑体"/>
          <w:sz w:val="32"/>
          <w:szCs w:val="32"/>
        </w:rPr>
      </w:pPr>
      <w:r>
        <w:rPr>
          <w:rFonts w:hint="eastAsia" w:ascii="黑体" w:hAnsi="黑体" w:eastAsia="黑体"/>
          <w:sz w:val="32"/>
          <w:szCs w:val="32"/>
        </w:rPr>
        <w:t>存在的问题</w:t>
      </w:r>
    </w:p>
    <w:p w14:paraId="510A691A">
      <w:pPr>
        <w:numPr>
          <w:ilvl w:val="0"/>
          <w:numId w:val="5"/>
        </w:num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对于绩效评价的认识不够深入，把预算绩效简单等同于工作目标、工作考核和业务管理。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2.由于工作需要，车辆行驶时间长，故障多。缺乏有效、健全的车辆管理机制。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3.购置车辆，批复时间长手续多。用车管理制度执行不够严格。</w:t>
      </w:r>
    </w:p>
    <w:p w14:paraId="2ED2B89D">
      <w:pPr>
        <w:spacing w:line="580" w:lineRule="exact"/>
        <w:ind w:firstLine="640"/>
        <w:rPr>
          <w:rFonts w:ascii="黑体" w:hAnsi="黑体" w:eastAsia="黑体"/>
          <w:sz w:val="32"/>
          <w:szCs w:val="32"/>
        </w:rPr>
      </w:pPr>
      <w:r>
        <w:rPr>
          <w:rFonts w:hint="eastAsia" w:ascii="黑体" w:hAnsi="黑体" w:eastAsia="黑体"/>
          <w:sz w:val="32"/>
          <w:szCs w:val="32"/>
        </w:rPr>
        <w:t>六、下一步改进工作的措施</w:t>
      </w:r>
    </w:p>
    <w:p w14:paraId="69D33F04">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1.总结项目实施经验，并加大力度继续做好项目后续监督管理工作，提高项目环保效益和社会效益。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加强绩效评价力度，提高资金使用效益。根据专项资金项目的特点，研究制定出更为科学、合理的绩效评价指标体系，针对性地加强对专项资金项目执行和经费使用情况的绩效评价考核，促进项目按要求出成果、出效益。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3.改进和完善当前绩效管理工作，精心设计绩效管理体系，狠抓绩效管理分析应用，扎实推进绩效管理工作。</w:t>
      </w:r>
    </w:p>
    <w:p w14:paraId="789BA050">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山丹县机关事务中心</w:t>
      </w:r>
    </w:p>
    <w:p w14:paraId="2FBD0D5D">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集中办公场所消防维保经费项目</w:t>
      </w:r>
    </w:p>
    <w:p w14:paraId="66CDEA24">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支出绩效自评报告</w:t>
      </w:r>
    </w:p>
    <w:p w14:paraId="4C6DEE8A">
      <w:pPr>
        <w:spacing w:line="580" w:lineRule="exact"/>
        <w:rPr>
          <w:rFonts w:ascii="方正小标宋简体" w:eastAsia="方正小标宋简体"/>
          <w:sz w:val="44"/>
          <w:szCs w:val="44"/>
        </w:rPr>
      </w:pPr>
    </w:p>
    <w:p w14:paraId="6E7F3B53">
      <w:pPr>
        <w:spacing w:line="580" w:lineRule="exact"/>
        <w:ind w:firstLine="640"/>
        <w:rPr>
          <w:rFonts w:eastAsia="黑体"/>
          <w:sz w:val="32"/>
          <w:szCs w:val="32"/>
        </w:rPr>
      </w:pPr>
      <w:r>
        <w:rPr>
          <w:rFonts w:hint="eastAsia" w:eastAsia="黑体"/>
          <w:sz w:val="32"/>
          <w:szCs w:val="32"/>
        </w:rPr>
        <w:t>一、项目基本情况</w:t>
      </w:r>
    </w:p>
    <w:p w14:paraId="4C2BF3AB">
      <w:pPr>
        <w:spacing w:line="580" w:lineRule="exact"/>
        <w:ind w:firstLine="643"/>
        <w:rPr>
          <w:rFonts w:ascii="楷体_GB2312" w:eastAsia="楷体_GB2312"/>
          <w:b/>
          <w:sz w:val="32"/>
          <w:szCs w:val="32"/>
        </w:rPr>
      </w:pPr>
      <w:r>
        <w:rPr>
          <w:rFonts w:hint="eastAsia" w:ascii="楷体_GB2312" w:eastAsia="楷体_GB2312"/>
          <w:b/>
          <w:sz w:val="32"/>
          <w:szCs w:val="32"/>
        </w:rPr>
        <w:t>（一）项目概况</w:t>
      </w:r>
    </w:p>
    <w:p w14:paraId="7A472D7D">
      <w:pPr>
        <w:spacing w:line="580" w:lineRule="exact"/>
        <w:ind w:firstLine="640"/>
        <w:rPr>
          <w:rFonts w:ascii="仿宋_GB2312" w:eastAsia="仿宋_GB2312"/>
          <w:sz w:val="32"/>
          <w:szCs w:val="32"/>
        </w:rPr>
      </w:pPr>
      <w:r>
        <w:rPr>
          <w:rFonts w:hint="eastAsia" w:ascii="仿宋_GB2312" w:eastAsia="仿宋_GB2312"/>
          <w:sz w:val="32"/>
          <w:szCs w:val="32"/>
        </w:rPr>
        <w:t>2023年4月我中心委托甘肃丰达消防设施检测有限公司对统办1号楼、统办2号楼等集中办公场所消防设施进行维保检查。经检查，集中办公场所大部分消防安全设施存在设备老化、不齐全等问题，不符合消防安全应急标准和工作要求。为防止集中办公场所消防安全事故发生，我单位向财政局申请消防维保经费100000元，对集中办公场所的消防设施进行了维修。</w:t>
      </w:r>
    </w:p>
    <w:p w14:paraId="41BF7909">
      <w:pPr>
        <w:spacing w:line="580" w:lineRule="exact"/>
        <w:ind w:firstLine="643"/>
        <w:rPr>
          <w:rFonts w:ascii="楷体_GB2312" w:eastAsia="楷体_GB2312"/>
          <w:b/>
          <w:sz w:val="32"/>
          <w:szCs w:val="32"/>
        </w:rPr>
      </w:pPr>
      <w:r>
        <w:rPr>
          <w:rFonts w:hint="eastAsia" w:ascii="楷体_GB2312" w:eastAsia="楷体_GB2312"/>
          <w:b/>
          <w:sz w:val="32"/>
          <w:szCs w:val="32"/>
        </w:rPr>
        <w:t>（二）项目绩效目标</w:t>
      </w:r>
    </w:p>
    <w:p w14:paraId="7C3FCBBD">
      <w:pPr>
        <w:spacing w:line="580" w:lineRule="exact"/>
        <w:ind w:firstLine="640"/>
        <w:rPr>
          <w:rFonts w:ascii="仿宋_GB2312" w:eastAsia="仿宋_GB2312"/>
          <w:sz w:val="32"/>
          <w:szCs w:val="32"/>
        </w:rPr>
      </w:pPr>
      <w:r>
        <w:rPr>
          <w:rFonts w:hint="eastAsia" w:ascii="仿宋_GB2312" w:eastAsia="仿宋_GB2312"/>
          <w:sz w:val="32"/>
          <w:szCs w:val="32"/>
        </w:rPr>
        <w:t>1．设备维护：对消防设备的日常维护工作进行评估，包括设备的检查、清洁、润滑和故障修复等。</w:t>
      </w:r>
      <w:r>
        <w:rPr>
          <w:rFonts w:hint="eastAsia" w:ascii="仿宋_GB2312" w:eastAsia="仿宋_GB2312"/>
          <w:sz w:val="32"/>
          <w:szCs w:val="32"/>
        </w:rPr>
        <w:br w:type="textWrapping"/>
      </w:r>
      <w:r>
        <w:rPr>
          <w:rFonts w:hint="eastAsia" w:ascii="仿宋_GB2312" w:eastAsia="仿宋_GB2312"/>
          <w:sz w:val="32"/>
          <w:szCs w:val="32"/>
        </w:rPr>
        <w:t xml:space="preserve">    2．系统运行：对消防系统的运行状态进行评估，包括火灾报警系统、自动喷水灭火系统和疏散通道等。</w:t>
      </w:r>
      <w:r>
        <w:rPr>
          <w:rFonts w:hint="eastAsia" w:ascii="仿宋_GB2312" w:eastAsia="仿宋_GB2312"/>
          <w:sz w:val="32"/>
          <w:szCs w:val="32"/>
        </w:rPr>
        <w:br w:type="textWrapping"/>
      </w:r>
      <w:r>
        <w:rPr>
          <w:rFonts w:hint="eastAsia" w:ascii="仿宋_GB2312" w:eastAsia="仿宋_GB2312"/>
          <w:sz w:val="32"/>
          <w:szCs w:val="32"/>
        </w:rPr>
        <w:t xml:space="preserve">    3．应急响应：对应急响应能力进行评估，包括消防器材的操作使用、疏散人员的组织和指导等。</w:t>
      </w:r>
      <w:r>
        <w:rPr>
          <w:rFonts w:hint="eastAsia" w:ascii="仿宋_GB2312" w:eastAsia="仿宋_GB2312"/>
          <w:sz w:val="32"/>
          <w:szCs w:val="32"/>
        </w:rPr>
        <w:br w:type="textWrapping"/>
      </w:r>
      <w:r>
        <w:rPr>
          <w:rFonts w:hint="eastAsia" w:ascii="仿宋_GB2312" w:eastAsia="仿宋_GB2312"/>
          <w:sz w:val="32"/>
          <w:szCs w:val="32"/>
        </w:rPr>
        <w:t xml:space="preserve">    4．消防培训：对消防培训工作进行评估，包括培训计划的制定、培训内容的完整性和培训效果的评估等。</w:t>
      </w:r>
    </w:p>
    <w:p w14:paraId="1CF99307">
      <w:pPr>
        <w:spacing w:line="580" w:lineRule="exact"/>
        <w:ind w:firstLine="643"/>
        <w:rPr>
          <w:rFonts w:ascii="黑体" w:hAnsi="黑体" w:eastAsia="黑体"/>
          <w:sz w:val="32"/>
          <w:szCs w:val="32"/>
        </w:rPr>
      </w:pPr>
      <w:r>
        <w:rPr>
          <w:rFonts w:hint="eastAsia" w:ascii="楷体_GB2312" w:eastAsia="楷体_GB2312"/>
          <w:b/>
          <w:sz w:val="32"/>
          <w:szCs w:val="32"/>
        </w:rPr>
        <w:t>（四）单位职能职责</w:t>
      </w:r>
    </w:p>
    <w:p w14:paraId="10B421FF">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制定县直机关后勤事务工作规划，并组织实施促进全县机关后勤工作的改革和发展；负责政府行政机关场所内的各类房产、公共设施等国有资产的管理及维修改造；负责政府行政机关场所内水、电、暖供应和设施设备管理等后勤保障工作；负责政府行政机关场所文明创建、园林绿化、</w:t>
      </w:r>
      <w:r>
        <w:rPr>
          <w:rFonts w:hint="eastAsia" w:ascii="仿宋_GB2312" w:hAnsi="仿宋_GB2312" w:eastAsia="仿宋_GB2312" w:cs="仿宋_GB2312"/>
          <w:sz w:val="32"/>
          <w:szCs w:val="32"/>
          <w:lang w:val="en-US" w:eastAsia="zh-CN"/>
        </w:rPr>
        <w:t>环</w:t>
      </w:r>
      <w:r>
        <w:rPr>
          <w:rFonts w:hint="eastAsia" w:ascii="仿宋_GB2312" w:hAnsi="仿宋_GB2312" w:eastAsia="仿宋_GB2312" w:cs="仿宋_GB2312"/>
          <w:sz w:val="32"/>
          <w:szCs w:val="32"/>
        </w:rPr>
        <w:t>境卫生、社会治安、安全保卫、消防安全、会议服务、政府食堂管理等工作；负责全县公共机构节能工作；负责全县的公车管理、维修保养、调度使用、费用结算等工作，县级调研接待用车、司勤人员工资、车辆运行维护费用等公车相关工作；承办县委、人大、政府、政协交办的其他事项。</w:t>
      </w:r>
    </w:p>
    <w:p w14:paraId="0D6CF6C6">
      <w:pPr>
        <w:spacing w:line="580" w:lineRule="exact"/>
        <w:ind w:firstLine="640"/>
        <w:rPr>
          <w:rFonts w:ascii="黑体" w:hAnsi="黑体" w:eastAsia="黑体"/>
          <w:sz w:val="32"/>
          <w:szCs w:val="32"/>
        </w:rPr>
      </w:pPr>
      <w:r>
        <w:rPr>
          <w:rFonts w:hint="eastAsia" w:ascii="黑体" w:hAnsi="黑体" w:eastAsia="黑体"/>
          <w:sz w:val="32"/>
          <w:szCs w:val="32"/>
        </w:rPr>
        <w:t>二、项目资金情况</w:t>
      </w:r>
    </w:p>
    <w:p w14:paraId="60C0F497">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全年预算数10万元，</w:t>
      </w:r>
      <w:r>
        <w:rPr>
          <w:rFonts w:hint="eastAsia" w:ascii="仿宋_GB2312" w:eastAsia="仿宋_GB2312"/>
          <w:sz w:val="32"/>
          <w:szCs w:val="32"/>
        </w:rPr>
        <w:t>统办1号楼、统办2号楼、创意中心、政务大厅消防设施维保资金</w:t>
      </w:r>
      <w:r>
        <w:rPr>
          <w:rFonts w:hint="eastAsia" w:ascii="仿宋_GB2312" w:hAnsi="仿宋_GB2312" w:eastAsia="仿宋_GB2312" w:cs="仿宋_GB2312"/>
          <w:sz w:val="32"/>
          <w:szCs w:val="32"/>
        </w:rPr>
        <w:t>执行数10万元，预算执行率100%。</w:t>
      </w:r>
    </w:p>
    <w:p w14:paraId="263D373F">
      <w:pPr>
        <w:numPr>
          <w:ilvl w:val="0"/>
          <w:numId w:val="6"/>
        </w:numPr>
        <w:spacing w:line="580" w:lineRule="exact"/>
        <w:ind w:firstLine="640"/>
        <w:rPr>
          <w:rFonts w:ascii="黑体" w:hAnsi="黑体" w:eastAsia="黑体"/>
          <w:sz w:val="32"/>
          <w:szCs w:val="32"/>
        </w:rPr>
      </w:pPr>
      <w:r>
        <w:rPr>
          <w:rFonts w:hint="eastAsia" w:ascii="黑体" w:hAnsi="黑体" w:eastAsia="黑体"/>
          <w:sz w:val="32"/>
          <w:szCs w:val="32"/>
        </w:rPr>
        <w:t>绩效目标完成情况及效益分析</w:t>
      </w:r>
    </w:p>
    <w:p w14:paraId="65C97690">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1.考核评分：根据绩效指标制定相应的评分标准，对各项指标进行评分。</w:t>
      </w:r>
    </w:p>
    <w:p w14:paraId="2501A079">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2.现场检查：定期进行现场检查，对消防设备和系统进行实际检验，评估其运行状态和维护情况。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3.用户满意度调查：通过问卷调查、面对面交流等方式，了解用户对消防维保工作的满意度，以及对工作改进的建议和意见。</w:t>
      </w:r>
    </w:p>
    <w:p w14:paraId="5180753C">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4.安全演练评估：进行定期的安全演练，并评估演练的效果和参与人员的反馈。</w:t>
      </w:r>
    </w:p>
    <w:p w14:paraId="2F1D6000">
      <w:pPr>
        <w:spacing w:line="580" w:lineRule="exact"/>
        <w:ind w:firstLine="640"/>
        <w:rPr>
          <w:rFonts w:ascii="黑体" w:hAnsi="黑体" w:eastAsia="黑体"/>
          <w:sz w:val="32"/>
          <w:szCs w:val="32"/>
        </w:rPr>
      </w:pPr>
      <w:r>
        <w:rPr>
          <w:rFonts w:hint="eastAsia" w:ascii="黑体" w:hAnsi="黑体" w:eastAsia="黑体"/>
          <w:sz w:val="32"/>
          <w:szCs w:val="32"/>
        </w:rPr>
        <w:t>四、绩效评价的结果和意义</w:t>
      </w:r>
    </w:p>
    <w:p w14:paraId="2B04F6EE">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1.记录绩效结果：将绩效评价的结果进行记录和整理，形成绩效档案。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2.提供改进建议：根据评价结果，提出改进维保工作的建议和方案，以提高维保质量和效率。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3.激励机制建设：根据评价结果，设立相应的奖惩机制，对绩效优秀者进行奖励，对绩效不佳者进行处罚。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4.监督管理和决策依据：绩效评价结果可以作为监督管理和决策的依据，对维保工作进行监督和指导。</w:t>
      </w:r>
      <w:r>
        <w:rPr>
          <w:rFonts w:hint="eastAsia" w:ascii="仿宋_GB2312" w:hAnsi="仿宋_GB2312" w:eastAsia="仿宋_GB2312" w:cs="仿宋_GB2312"/>
          <w:sz w:val="32"/>
          <w:szCs w:val="32"/>
        </w:rPr>
        <w:br w:type="textWrapping"/>
      </w:r>
    </w:p>
    <w:p w14:paraId="2FC3BC13">
      <w:pPr>
        <w:spacing w:line="580" w:lineRule="exact"/>
        <w:ind w:firstLine="3840"/>
        <w:rPr>
          <w:rFonts w:ascii="仿宋_GB2312" w:hAnsi="仿宋_GB2312" w:eastAsia="仿宋_GB2312" w:cs="仿宋_GB2312"/>
          <w:sz w:val="32"/>
          <w:szCs w:val="32"/>
        </w:rPr>
      </w:pPr>
    </w:p>
    <w:p w14:paraId="386A39AA">
      <w:pPr>
        <w:spacing w:line="580" w:lineRule="exact"/>
        <w:ind w:firstLine="5120"/>
        <w:rPr>
          <w:rFonts w:ascii="仿宋_GB2312" w:hAnsi="仿宋_GB2312" w:eastAsia="仿宋_GB2312" w:cs="仿宋_GB2312"/>
          <w:sz w:val="32"/>
          <w:szCs w:val="32"/>
        </w:rPr>
      </w:pPr>
    </w:p>
    <w:p w14:paraId="2C90D5F6">
      <w:pPr>
        <w:spacing w:line="580" w:lineRule="exact"/>
        <w:ind w:firstLine="5120"/>
        <w:rPr>
          <w:rFonts w:ascii="仿宋_GB2312" w:hAnsi="仿宋_GB2312" w:eastAsia="仿宋_GB2312" w:cs="仿宋_GB2312"/>
          <w:sz w:val="32"/>
          <w:szCs w:val="32"/>
        </w:rPr>
      </w:pPr>
    </w:p>
    <w:p w14:paraId="78C9DA56">
      <w:pPr>
        <w:spacing w:line="580" w:lineRule="exact"/>
        <w:ind w:firstLine="5120"/>
        <w:rPr>
          <w:rFonts w:ascii="仿宋_GB2312" w:hAnsi="仿宋_GB2312" w:eastAsia="仿宋_GB2312" w:cs="仿宋_GB2312"/>
          <w:sz w:val="32"/>
          <w:szCs w:val="32"/>
        </w:rPr>
      </w:pPr>
    </w:p>
    <w:p w14:paraId="220A9545">
      <w:pPr>
        <w:spacing w:line="580" w:lineRule="exact"/>
        <w:ind w:firstLine="5120"/>
        <w:rPr>
          <w:rFonts w:ascii="仿宋_GB2312" w:hAnsi="仿宋_GB2312" w:eastAsia="仿宋_GB2312" w:cs="仿宋_GB2312"/>
          <w:sz w:val="32"/>
          <w:szCs w:val="32"/>
        </w:rPr>
      </w:pPr>
    </w:p>
    <w:p w14:paraId="7E0759AC">
      <w:pPr>
        <w:spacing w:line="580" w:lineRule="exact"/>
        <w:ind w:firstLine="5120"/>
        <w:rPr>
          <w:rFonts w:ascii="仿宋_GB2312" w:hAnsi="仿宋_GB2312" w:eastAsia="仿宋_GB2312" w:cs="仿宋_GB2312"/>
          <w:sz w:val="32"/>
          <w:szCs w:val="32"/>
        </w:rPr>
      </w:pPr>
    </w:p>
    <w:p w14:paraId="1ECA93F0">
      <w:pPr>
        <w:spacing w:line="580" w:lineRule="exact"/>
        <w:ind w:firstLine="5120"/>
        <w:rPr>
          <w:rFonts w:ascii="仿宋_GB2312" w:hAnsi="仿宋_GB2312" w:eastAsia="仿宋_GB2312" w:cs="仿宋_GB2312"/>
          <w:sz w:val="32"/>
          <w:szCs w:val="32"/>
        </w:rPr>
      </w:pPr>
    </w:p>
    <w:p w14:paraId="5C1CFAB3">
      <w:pPr>
        <w:spacing w:line="580" w:lineRule="exact"/>
        <w:ind w:firstLine="5120"/>
        <w:rPr>
          <w:rFonts w:ascii="仿宋_GB2312" w:hAnsi="仿宋_GB2312" w:eastAsia="仿宋_GB2312" w:cs="仿宋_GB2312"/>
          <w:sz w:val="32"/>
          <w:szCs w:val="32"/>
        </w:rPr>
      </w:pPr>
    </w:p>
    <w:p w14:paraId="4E1C168B">
      <w:pPr>
        <w:spacing w:line="580" w:lineRule="exact"/>
        <w:ind w:firstLine="5120"/>
        <w:rPr>
          <w:rFonts w:ascii="仿宋_GB2312" w:hAnsi="仿宋_GB2312" w:eastAsia="仿宋_GB2312" w:cs="仿宋_GB2312"/>
          <w:sz w:val="32"/>
          <w:szCs w:val="32"/>
        </w:rPr>
      </w:pPr>
    </w:p>
    <w:p w14:paraId="4A1B5EDD">
      <w:pPr>
        <w:spacing w:line="580" w:lineRule="exact"/>
        <w:ind w:firstLine="5120"/>
        <w:rPr>
          <w:rFonts w:ascii="仿宋_GB2312" w:hAnsi="仿宋_GB2312" w:eastAsia="仿宋_GB2312" w:cs="仿宋_GB2312"/>
          <w:sz w:val="32"/>
          <w:szCs w:val="32"/>
        </w:rPr>
      </w:pPr>
    </w:p>
    <w:p w14:paraId="0D78616F">
      <w:pPr>
        <w:spacing w:line="580" w:lineRule="exact"/>
        <w:ind w:firstLine="5120"/>
        <w:rPr>
          <w:rFonts w:ascii="仿宋_GB2312" w:hAnsi="仿宋_GB2312" w:eastAsia="仿宋_GB2312" w:cs="仿宋_GB2312"/>
          <w:sz w:val="32"/>
          <w:szCs w:val="32"/>
        </w:rPr>
      </w:pPr>
    </w:p>
    <w:p w14:paraId="1FB93608">
      <w:pPr>
        <w:spacing w:line="580" w:lineRule="exact"/>
        <w:ind w:firstLine="5120"/>
        <w:rPr>
          <w:rFonts w:ascii="仿宋_GB2312" w:hAnsi="仿宋_GB2312" w:eastAsia="仿宋_GB2312" w:cs="仿宋_GB2312"/>
          <w:sz w:val="32"/>
          <w:szCs w:val="32"/>
        </w:rPr>
      </w:pPr>
    </w:p>
    <w:p w14:paraId="22032CB1">
      <w:pPr>
        <w:spacing w:line="580" w:lineRule="exact"/>
        <w:ind w:firstLine="5120"/>
        <w:rPr>
          <w:rFonts w:ascii="仿宋_GB2312" w:hAnsi="仿宋_GB2312" w:eastAsia="仿宋_GB2312" w:cs="仿宋_GB2312"/>
          <w:sz w:val="32"/>
          <w:szCs w:val="32"/>
        </w:rPr>
      </w:pPr>
    </w:p>
    <w:p w14:paraId="66646CEA">
      <w:pPr>
        <w:spacing w:line="580" w:lineRule="exact"/>
        <w:ind w:firstLine="5120"/>
        <w:rPr>
          <w:rFonts w:ascii="仿宋_GB2312" w:hAnsi="仿宋_GB2312" w:eastAsia="仿宋_GB2312" w:cs="仿宋_GB2312"/>
          <w:sz w:val="32"/>
          <w:szCs w:val="32"/>
        </w:rPr>
      </w:pPr>
    </w:p>
    <w:p w14:paraId="17A518B8">
      <w:pPr>
        <w:spacing w:line="580" w:lineRule="exact"/>
        <w:ind w:firstLine="5120"/>
        <w:rPr>
          <w:rFonts w:ascii="仿宋_GB2312" w:hAnsi="仿宋_GB2312" w:eastAsia="仿宋_GB2312" w:cs="仿宋_GB2312"/>
          <w:sz w:val="32"/>
          <w:szCs w:val="32"/>
        </w:rPr>
      </w:pPr>
    </w:p>
    <w:p w14:paraId="32EFC3BB">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山丹县机关事务中心</w:t>
      </w:r>
    </w:p>
    <w:p w14:paraId="34AAD283">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统办1号楼1304会议室改造经费</w:t>
      </w:r>
    </w:p>
    <w:p w14:paraId="581A5777">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项目支出绩效自评报告</w:t>
      </w:r>
    </w:p>
    <w:p w14:paraId="374F3D15">
      <w:pPr>
        <w:spacing w:line="580" w:lineRule="exact"/>
        <w:rPr>
          <w:rFonts w:ascii="方正小标宋简体" w:eastAsia="方正小标宋简体"/>
          <w:sz w:val="44"/>
          <w:szCs w:val="44"/>
        </w:rPr>
      </w:pPr>
    </w:p>
    <w:p w14:paraId="573685B7">
      <w:pPr>
        <w:spacing w:line="580" w:lineRule="exact"/>
        <w:ind w:firstLine="640"/>
        <w:rPr>
          <w:rFonts w:eastAsia="黑体"/>
          <w:sz w:val="32"/>
          <w:szCs w:val="32"/>
        </w:rPr>
      </w:pPr>
      <w:r>
        <w:rPr>
          <w:rFonts w:hint="eastAsia" w:eastAsia="黑体"/>
          <w:sz w:val="32"/>
          <w:szCs w:val="32"/>
        </w:rPr>
        <w:t>一、项目基本情况</w:t>
      </w:r>
    </w:p>
    <w:p w14:paraId="64E248C0">
      <w:pPr>
        <w:spacing w:line="580" w:lineRule="exact"/>
        <w:ind w:firstLine="643"/>
        <w:rPr>
          <w:rFonts w:ascii="楷体_GB2312" w:eastAsia="楷体_GB2312"/>
          <w:b/>
          <w:sz w:val="32"/>
          <w:szCs w:val="32"/>
        </w:rPr>
      </w:pPr>
      <w:r>
        <w:rPr>
          <w:rFonts w:hint="eastAsia" w:ascii="楷体_GB2312" w:eastAsia="楷体_GB2312"/>
          <w:b/>
          <w:sz w:val="32"/>
          <w:szCs w:val="32"/>
        </w:rPr>
        <w:t>（一）项目概况</w:t>
      </w:r>
    </w:p>
    <w:p w14:paraId="650856BE">
      <w:pPr>
        <w:spacing w:line="580" w:lineRule="exact"/>
        <w:ind w:firstLine="640"/>
        <w:rPr>
          <w:rFonts w:ascii="仿宋_GB2312" w:eastAsia="仿宋_GB2312"/>
          <w:sz w:val="32"/>
          <w:szCs w:val="32"/>
        </w:rPr>
      </w:pPr>
      <w:r>
        <w:rPr>
          <w:rFonts w:hint="eastAsia" w:ascii="仿宋_GB2312" w:eastAsia="仿宋_GB2312"/>
          <w:sz w:val="32"/>
          <w:szCs w:val="32"/>
        </w:rPr>
        <w:t>县统办1号楼1304会议室因使用年限较长，电子屏、桌椅等设施设备过于陈旧，无法满足会议需求。财政拨付我中心统办1号楼1304会议室改造项目资金20万元，</w:t>
      </w:r>
    </w:p>
    <w:p w14:paraId="235509C1">
      <w:pPr>
        <w:spacing w:line="580" w:lineRule="exact"/>
        <w:ind w:firstLine="643"/>
        <w:rPr>
          <w:rFonts w:ascii="楷体_GB2312" w:eastAsia="楷体_GB2312"/>
          <w:b/>
          <w:sz w:val="32"/>
          <w:szCs w:val="32"/>
        </w:rPr>
      </w:pPr>
      <w:r>
        <w:rPr>
          <w:rFonts w:hint="eastAsia" w:ascii="楷体_GB2312" w:eastAsia="楷体_GB2312"/>
          <w:b/>
          <w:sz w:val="32"/>
          <w:szCs w:val="32"/>
        </w:rPr>
        <w:t>（二）项目资金使用及管理情况</w:t>
      </w:r>
    </w:p>
    <w:p w14:paraId="001C2B30">
      <w:pPr>
        <w:pStyle w:val="28"/>
        <w:widowControl/>
        <w:shd w:val="clear" w:color="auto" w:fill="FFFFFF"/>
        <w:spacing w:beforeAutospacing="0" w:afterAutospacing="0" w:line="580" w:lineRule="exact"/>
        <w:ind w:firstLine="640"/>
        <w:jc w:val="both"/>
        <w:rPr>
          <w:rFonts w:ascii="仿宋_GB2312" w:eastAsia="仿宋_GB2312" w:cstheme="minorBidi"/>
          <w:sz w:val="32"/>
          <w:szCs w:val="32"/>
        </w:rPr>
      </w:pPr>
      <w:r>
        <w:rPr>
          <w:rFonts w:hint="eastAsia" w:ascii="仿宋_GB2312" w:eastAsia="仿宋_GB2312" w:cstheme="minorBidi"/>
          <w:sz w:val="32"/>
          <w:szCs w:val="32"/>
        </w:rPr>
        <w:t>预算安排统办1号楼1304会议室维护项目资金20万元，由县机关事务中心统一集中管理，集中支付，集中采购，并安排专人进行落实，并督促按时保质保量完成。</w:t>
      </w:r>
    </w:p>
    <w:p w14:paraId="3D846404">
      <w:pPr>
        <w:spacing w:line="580" w:lineRule="exact"/>
        <w:ind w:firstLine="643"/>
        <w:rPr>
          <w:rFonts w:ascii="黑体" w:hAnsi="黑体" w:eastAsia="黑体"/>
          <w:sz w:val="32"/>
          <w:szCs w:val="32"/>
        </w:rPr>
      </w:pPr>
      <w:r>
        <w:rPr>
          <w:rFonts w:hint="eastAsia" w:ascii="楷体_GB2312" w:eastAsia="楷体_GB2312"/>
          <w:b/>
          <w:sz w:val="32"/>
          <w:szCs w:val="32"/>
        </w:rPr>
        <w:t>（三）项目组织实施情况</w:t>
      </w:r>
    </w:p>
    <w:p w14:paraId="63993FA1">
      <w:pPr>
        <w:spacing w:line="580" w:lineRule="exact"/>
        <w:ind w:firstLine="640"/>
        <w:rPr>
          <w:rFonts w:ascii="仿宋_GB2312" w:hAnsi="仿宋_GB2312" w:eastAsia="仿宋_GB2312" w:cs="仿宋_GB2312"/>
          <w:sz w:val="32"/>
          <w:szCs w:val="32"/>
        </w:rPr>
      </w:pPr>
      <w:r>
        <w:rPr>
          <w:rFonts w:hint="eastAsia" w:ascii="仿宋_GB2312" w:eastAsia="仿宋_GB2312"/>
          <w:sz w:val="32"/>
          <w:szCs w:val="32"/>
        </w:rPr>
        <w:t>县政府对统办1号楼1304会议室提升改造项目做出预算237965元，其中安装LED图像显示屏（模组分辨率64*32，尺寸5.76米*2.88米）需要金额19345元；加装灯带需要45020元；购买桌椅设备需要173600元。</w:t>
      </w:r>
      <w:r>
        <w:rPr>
          <w:rFonts w:hint="eastAsia" w:ascii="仿宋_GB2312" w:hAnsi="仿宋_GB2312" w:eastAsia="仿宋_GB2312" w:cs="仿宋_GB2312"/>
          <w:sz w:val="32"/>
          <w:szCs w:val="32"/>
        </w:rPr>
        <w:t>全年预算数237965元，</w:t>
      </w:r>
      <w:r>
        <w:rPr>
          <w:rFonts w:hint="eastAsia" w:ascii="仿宋_GB2312" w:eastAsia="仿宋_GB2312"/>
          <w:sz w:val="32"/>
          <w:szCs w:val="32"/>
        </w:rPr>
        <w:t>统办1号楼1304会议室改造资金</w:t>
      </w:r>
      <w:r>
        <w:rPr>
          <w:rFonts w:hint="eastAsia" w:ascii="仿宋_GB2312" w:hAnsi="仿宋_GB2312" w:eastAsia="仿宋_GB2312" w:cs="仿宋_GB2312"/>
          <w:sz w:val="32"/>
          <w:szCs w:val="32"/>
        </w:rPr>
        <w:t>执行数237965元，预算执行率100%</w:t>
      </w:r>
    </w:p>
    <w:p w14:paraId="3837363A">
      <w:pPr>
        <w:spacing w:line="580" w:lineRule="exact"/>
        <w:ind w:firstLine="640"/>
        <w:rPr>
          <w:rFonts w:ascii="黑体" w:hAnsi="黑体" w:eastAsia="黑体"/>
          <w:sz w:val="32"/>
          <w:szCs w:val="32"/>
        </w:rPr>
      </w:pPr>
      <w:r>
        <w:rPr>
          <w:rFonts w:hint="eastAsia" w:ascii="黑体" w:hAnsi="黑体" w:eastAsia="黑体"/>
          <w:sz w:val="32"/>
          <w:szCs w:val="32"/>
        </w:rPr>
        <w:t>二、绩效目标完成情况及效益分析</w:t>
      </w:r>
    </w:p>
    <w:p w14:paraId="0D9667FD">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产出指标中预计完成时间为2023年12月31日前，实际于2023年6月30日前完成，时效指标中及时对工程完工情况进行了验收；质量指标中产品质量合格；效益指标提高了提高会议效率，综合考评得分97分，等级为“优”。所有绩效指标值均达到预期目标。</w:t>
      </w:r>
    </w:p>
    <w:p w14:paraId="0F5CC647">
      <w:pPr>
        <w:spacing w:line="580" w:lineRule="exact"/>
        <w:ind w:firstLine="640"/>
        <w:rPr>
          <w:rFonts w:ascii="黑体" w:hAnsi="黑体" w:eastAsia="黑体"/>
          <w:sz w:val="32"/>
          <w:szCs w:val="32"/>
        </w:rPr>
      </w:pPr>
      <w:r>
        <w:rPr>
          <w:rFonts w:hint="eastAsia" w:ascii="黑体" w:hAnsi="黑体" w:eastAsia="黑体"/>
          <w:sz w:val="32"/>
          <w:szCs w:val="32"/>
        </w:rPr>
        <w:t>三、自评结论</w:t>
      </w:r>
    </w:p>
    <w:p w14:paraId="446F5374">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一是我中心高度重视项目评价工作，开展了绩效评价工作，促进了评价具体工作的落实。把绩效评价工作列入重要议事日程，切实抓紧抓好。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是充分认识和发挥自身预算绩效管理作用，制定具体措施，切实做好本部门的预算绩效监控工作。确定专人，将项目绩效运行工作责任落到实处。在具体工作中，共同配合，促进绩效评价工作的规范、有序、顺利开展。</w:t>
      </w:r>
    </w:p>
    <w:p w14:paraId="62E8A1DC">
      <w:pPr>
        <w:spacing w:line="580" w:lineRule="exact"/>
        <w:ind w:firstLine="640"/>
        <w:rPr>
          <w:rFonts w:ascii="黑体" w:hAnsi="黑体" w:eastAsia="黑体"/>
          <w:sz w:val="32"/>
          <w:szCs w:val="32"/>
        </w:rPr>
      </w:pPr>
      <w:r>
        <w:rPr>
          <w:rFonts w:hint="eastAsia" w:ascii="黑体" w:hAnsi="黑体" w:eastAsia="黑体"/>
          <w:sz w:val="32"/>
          <w:szCs w:val="32"/>
        </w:rPr>
        <w:t>四、存在的问题及相关建议</w:t>
      </w:r>
    </w:p>
    <w:p w14:paraId="1255E378">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会议室很多设备设施陈旧、淘汰，部分设备年久失修，处于瘫痪或半瘫痪状态，丞需维修、更新。无法满足会议要求，不能及时领会、贯彻、落实上级精神，确保政府工作有效运转。</w:t>
      </w:r>
    </w:p>
    <w:p w14:paraId="03B6323A">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鉴于以上存在的问题，建议财政部门加大资金投入力度，提升项目服务、保障能力。</w:t>
      </w:r>
    </w:p>
    <w:p w14:paraId="72115C56">
      <w:pPr>
        <w:spacing w:line="580" w:lineRule="exact"/>
        <w:ind w:firstLine="3840"/>
        <w:rPr>
          <w:rFonts w:ascii="仿宋_GB2312" w:hAnsi="仿宋_GB2312" w:eastAsia="仿宋_GB2312" w:cs="仿宋_GB2312"/>
          <w:sz w:val="32"/>
          <w:szCs w:val="32"/>
        </w:rPr>
      </w:pPr>
    </w:p>
    <w:p w14:paraId="188448B0">
      <w:pPr>
        <w:spacing w:line="580" w:lineRule="exact"/>
        <w:rPr>
          <w:rFonts w:ascii="仿宋_GB2312" w:hAnsi="仿宋_GB2312" w:eastAsia="仿宋_GB2312" w:cs="仿宋_GB2312"/>
          <w:sz w:val="32"/>
          <w:szCs w:val="32"/>
        </w:rPr>
      </w:pPr>
    </w:p>
    <w:p w14:paraId="28580399">
      <w:pPr>
        <w:spacing w:line="580" w:lineRule="exact"/>
        <w:rPr>
          <w:rFonts w:ascii="方正小标宋简体" w:eastAsia="方正小标宋简体"/>
          <w:sz w:val="44"/>
          <w:szCs w:val="44"/>
        </w:rPr>
      </w:pPr>
    </w:p>
    <w:p w14:paraId="2041AA6C">
      <w:pPr>
        <w:spacing w:line="580" w:lineRule="exact"/>
        <w:rPr>
          <w:rFonts w:ascii="方正小标宋简体" w:eastAsia="方正小标宋简体"/>
          <w:sz w:val="44"/>
          <w:szCs w:val="44"/>
        </w:rPr>
      </w:pPr>
    </w:p>
    <w:p w14:paraId="282A2DF9">
      <w:pPr>
        <w:spacing w:line="580" w:lineRule="exact"/>
        <w:rPr>
          <w:rFonts w:ascii="方正小标宋简体" w:eastAsia="方正小标宋简体"/>
          <w:sz w:val="44"/>
          <w:szCs w:val="44"/>
        </w:rPr>
      </w:pPr>
    </w:p>
    <w:p w14:paraId="6E0888B4">
      <w:pPr>
        <w:spacing w:line="580" w:lineRule="exact"/>
        <w:rPr>
          <w:rFonts w:ascii="方正小标宋简体" w:eastAsia="方正小标宋简体"/>
          <w:sz w:val="44"/>
          <w:szCs w:val="44"/>
        </w:rPr>
      </w:pPr>
    </w:p>
    <w:p w14:paraId="0CE1CC6F">
      <w:pPr>
        <w:spacing w:line="580" w:lineRule="exact"/>
        <w:rPr>
          <w:rFonts w:ascii="方正小标宋简体" w:eastAsia="方正小标宋简体"/>
          <w:sz w:val="44"/>
          <w:szCs w:val="44"/>
        </w:rPr>
      </w:pPr>
    </w:p>
    <w:p w14:paraId="1B393132">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山丹县机关事务中心</w:t>
      </w:r>
    </w:p>
    <w:p w14:paraId="20A521AA">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县政府、政协及纪委监委会议室装修及购置LED显示屏和音频扩声系统</w:t>
      </w:r>
    </w:p>
    <w:p w14:paraId="5EBCB64F">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项目支出绩效自评报告</w:t>
      </w:r>
    </w:p>
    <w:p w14:paraId="73682D4C">
      <w:pPr>
        <w:spacing w:line="580" w:lineRule="exact"/>
        <w:rPr>
          <w:rFonts w:ascii="方正小标宋简体" w:eastAsia="方正小标宋简体"/>
          <w:sz w:val="44"/>
          <w:szCs w:val="44"/>
        </w:rPr>
      </w:pPr>
    </w:p>
    <w:p w14:paraId="4FCCC37D">
      <w:pPr>
        <w:spacing w:line="580" w:lineRule="exact"/>
        <w:ind w:firstLine="640"/>
        <w:rPr>
          <w:rFonts w:eastAsia="黑体"/>
          <w:sz w:val="32"/>
          <w:szCs w:val="32"/>
        </w:rPr>
      </w:pPr>
      <w:r>
        <w:rPr>
          <w:rFonts w:hint="eastAsia" w:eastAsia="黑体"/>
          <w:sz w:val="32"/>
          <w:szCs w:val="32"/>
        </w:rPr>
        <w:t>一、项目基本情况</w:t>
      </w:r>
    </w:p>
    <w:p w14:paraId="7A414798">
      <w:pPr>
        <w:spacing w:line="580" w:lineRule="exact"/>
        <w:ind w:firstLine="643"/>
        <w:rPr>
          <w:rFonts w:ascii="楷体_GB2312" w:eastAsia="楷体_GB2312"/>
          <w:b/>
          <w:sz w:val="32"/>
          <w:szCs w:val="32"/>
        </w:rPr>
      </w:pPr>
      <w:r>
        <w:rPr>
          <w:rFonts w:hint="eastAsia" w:ascii="楷体_GB2312" w:eastAsia="楷体_GB2312"/>
          <w:b/>
          <w:sz w:val="32"/>
          <w:szCs w:val="32"/>
        </w:rPr>
        <w:t>（一）项目概况</w:t>
      </w:r>
    </w:p>
    <w:p w14:paraId="1B46A815">
      <w:pPr>
        <w:spacing w:line="580" w:lineRule="exact"/>
        <w:ind w:firstLine="640"/>
        <w:rPr>
          <w:rFonts w:ascii="仿宋_GB2312" w:eastAsia="仿宋_GB2312"/>
          <w:sz w:val="32"/>
          <w:szCs w:val="32"/>
        </w:rPr>
      </w:pPr>
      <w:r>
        <w:rPr>
          <w:rFonts w:hint="eastAsia" w:ascii="仿宋_GB2312" w:eastAsia="仿宋_GB2312"/>
          <w:sz w:val="32"/>
          <w:szCs w:val="32"/>
        </w:rPr>
        <w:t>为满足会议需求，进一步提高工作效率。2019年县机关事务中心对县政府、政协及纪委监委会议室进行装修、购置LED显示屏及音频扩声系统。财政拨付我中心县政府、政协及纪委监委会议室进行装修、购置LED显示屏及音频扩声系统改造项目资金10万元。</w:t>
      </w:r>
    </w:p>
    <w:p w14:paraId="5A6059BC">
      <w:pPr>
        <w:spacing w:line="580" w:lineRule="exact"/>
        <w:ind w:firstLine="643"/>
        <w:rPr>
          <w:rFonts w:ascii="仿宋_GB2312" w:eastAsia="仿宋_GB2312"/>
          <w:sz w:val="32"/>
          <w:szCs w:val="32"/>
          <w:highlight w:val="yellow"/>
        </w:rPr>
      </w:pPr>
      <w:r>
        <w:rPr>
          <w:rFonts w:hint="eastAsia" w:ascii="楷体_GB2312" w:eastAsia="楷体_GB2312"/>
          <w:b/>
          <w:sz w:val="32"/>
          <w:szCs w:val="32"/>
        </w:rPr>
        <w:t>（二）项目绩效目标</w:t>
      </w:r>
    </w:p>
    <w:p w14:paraId="7C1AF059">
      <w:pPr>
        <w:spacing w:line="580" w:lineRule="exact"/>
        <w:ind w:firstLine="640"/>
        <w:rPr>
          <w:rFonts w:ascii="仿宋_GB2312" w:eastAsia="仿宋_GB2312"/>
          <w:sz w:val="32"/>
          <w:szCs w:val="32"/>
        </w:rPr>
      </w:pPr>
      <w:r>
        <w:rPr>
          <w:rFonts w:hint="eastAsia" w:ascii="仿宋_GB2312" w:eastAsia="仿宋_GB2312"/>
          <w:sz w:val="32"/>
          <w:szCs w:val="32"/>
        </w:rPr>
        <w:t>严格按照合同规定 ，对会议室LED显示屏、音频扩声系统等进行安装并做到定期维保,确保会议室环境舒适、机关工作正常运行。</w:t>
      </w:r>
    </w:p>
    <w:p w14:paraId="40749CF3">
      <w:pPr>
        <w:spacing w:line="580" w:lineRule="exact"/>
        <w:ind w:firstLine="643"/>
        <w:rPr>
          <w:rFonts w:ascii="楷体_GB2312" w:eastAsia="楷体_GB2312"/>
          <w:b/>
          <w:sz w:val="32"/>
          <w:szCs w:val="32"/>
        </w:rPr>
      </w:pPr>
      <w:r>
        <w:rPr>
          <w:rFonts w:hint="eastAsia" w:ascii="楷体_GB2312" w:eastAsia="楷体_GB2312"/>
          <w:b/>
          <w:sz w:val="32"/>
          <w:szCs w:val="32"/>
        </w:rPr>
        <w:t>（三）项目资金使用及管理情况</w:t>
      </w:r>
    </w:p>
    <w:p w14:paraId="48484470">
      <w:pPr>
        <w:pStyle w:val="28"/>
        <w:widowControl/>
        <w:shd w:val="clear" w:color="auto" w:fill="FFFFFF"/>
        <w:spacing w:beforeAutospacing="0" w:afterAutospacing="0" w:line="580" w:lineRule="exact"/>
        <w:ind w:firstLine="640"/>
        <w:jc w:val="both"/>
        <w:rPr>
          <w:rFonts w:ascii="仿宋_GB2312" w:eastAsia="仿宋_GB2312" w:cstheme="minorBidi"/>
          <w:sz w:val="32"/>
          <w:szCs w:val="32"/>
        </w:rPr>
      </w:pPr>
      <w:r>
        <w:rPr>
          <w:rFonts w:hint="eastAsia" w:ascii="仿宋_GB2312" w:eastAsia="仿宋_GB2312" w:cstheme="minorBidi"/>
          <w:sz w:val="32"/>
          <w:szCs w:val="32"/>
        </w:rPr>
        <w:t>县政府、政协及纪委监委会议室进行装修、购置LED显示屏及音频扩声系统项目共花费113万元，已累计支付50万元，财政拨款10万元，由县机关事务中心统一集中管理，集中支付，集中采购，安排专人进行落实，并督促按时保质保量完成。</w:t>
      </w:r>
    </w:p>
    <w:p w14:paraId="01D43B98">
      <w:pPr>
        <w:spacing w:line="580" w:lineRule="exact"/>
        <w:ind w:firstLine="640"/>
        <w:rPr>
          <w:rFonts w:ascii="黑体" w:hAnsi="黑体" w:eastAsia="黑体"/>
          <w:sz w:val="32"/>
          <w:szCs w:val="32"/>
        </w:rPr>
      </w:pPr>
      <w:r>
        <w:rPr>
          <w:rFonts w:hint="eastAsia" w:ascii="黑体" w:hAnsi="黑体" w:eastAsia="黑体"/>
          <w:sz w:val="32"/>
          <w:szCs w:val="32"/>
        </w:rPr>
        <w:t>二、绩效目标完成情况及效益分析</w:t>
      </w:r>
    </w:p>
    <w:p w14:paraId="1769B1B1">
      <w:pPr>
        <w:pStyle w:val="28"/>
        <w:widowControl/>
        <w:shd w:val="clear" w:color="auto" w:fill="FFFFFF"/>
        <w:spacing w:beforeAutospacing="0" w:afterAutospacing="0" w:line="580" w:lineRule="exact"/>
        <w:ind w:firstLine="640"/>
        <w:jc w:val="both"/>
        <w:rPr>
          <w:rFonts w:ascii="仿宋_GB2312" w:eastAsia="仿宋_GB2312" w:cstheme="minorBidi"/>
          <w:sz w:val="32"/>
          <w:szCs w:val="32"/>
        </w:rPr>
      </w:pPr>
      <w:r>
        <w:rPr>
          <w:rFonts w:hint="eastAsia" w:ascii="仿宋_GB2312" w:eastAsia="仿宋_GB2312" w:cstheme="minorBidi"/>
          <w:sz w:val="32"/>
          <w:szCs w:val="32"/>
        </w:rPr>
        <w:t>1、质量指标： 保证显示屏、音频扩声系统等各项设备运行无障碍，确保会议正常运行。</w:t>
      </w:r>
    </w:p>
    <w:p w14:paraId="6EA9EC56">
      <w:pPr>
        <w:pStyle w:val="28"/>
        <w:widowControl/>
        <w:shd w:val="clear" w:color="auto" w:fill="FFFFFF"/>
        <w:spacing w:beforeAutospacing="0" w:afterAutospacing="0" w:line="580" w:lineRule="exact"/>
        <w:ind w:firstLine="640"/>
        <w:jc w:val="both"/>
        <w:rPr>
          <w:rFonts w:ascii="仿宋_GB2312" w:eastAsia="仿宋_GB2312" w:cstheme="minorBidi"/>
          <w:sz w:val="32"/>
          <w:szCs w:val="32"/>
        </w:rPr>
      </w:pPr>
      <w:r>
        <w:rPr>
          <w:rFonts w:hint="eastAsia" w:ascii="仿宋_GB2312" w:eastAsia="仿宋_GB2312" w:cstheme="minorBidi"/>
          <w:sz w:val="32"/>
          <w:szCs w:val="32"/>
        </w:rPr>
        <w:t>2、效益指标：显示屏、音频扩声系统等设备严格按照合同约定维护保养，定期专人检修，领导干部满意度达到95%。</w:t>
      </w:r>
    </w:p>
    <w:p w14:paraId="2F3A6D6C">
      <w:pPr>
        <w:pStyle w:val="28"/>
        <w:widowControl/>
        <w:shd w:val="clear" w:color="auto" w:fill="FFFFFF"/>
        <w:spacing w:beforeAutospacing="0" w:afterAutospacing="0" w:line="580" w:lineRule="exact"/>
        <w:ind w:firstLine="640"/>
        <w:jc w:val="both"/>
        <w:rPr>
          <w:rFonts w:ascii="仿宋_GB2312" w:eastAsia="仿宋_GB2312" w:cstheme="minorBidi"/>
          <w:sz w:val="32"/>
          <w:szCs w:val="32"/>
        </w:rPr>
      </w:pPr>
      <w:r>
        <w:rPr>
          <w:rFonts w:hint="eastAsia" w:ascii="仿宋_GB2312" w:eastAsia="仿宋_GB2312" w:cstheme="minorBidi"/>
          <w:sz w:val="32"/>
          <w:szCs w:val="32"/>
        </w:rPr>
        <w:t>3、成本指标：县政府、政协及纪委监委会议室进行装修、购置LED显示屏及音频扩声系统项目严格按照预算实施。                      4、可持续影响指标：会议室里设备显示屏、音频扩声系统等设备设施的正常运行，提高了党政机关办文办会效率、降低会议成本，及时领会、贯彻、落实上级精神，确保政府工作有效运转。</w:t>
      </w:r>
    </w:p>
    <w:p w14:paraId="778C62B7">
      <w:pPr>
        <w:spacing w:line="580" w:lineRule="exact"/>
        <w:ind w:firstLine="640"/>
        <w:rPr>
          <w:rFonts w:ascii="黑体" w:hAnsi="黑体" w:eastAsia="黑体"/>
          <w:sz w:val="32"/>
          <w:szCs w:val="32"/>
        </w:rPr>
      </w:pPr>
      <w:r>
        <w:rPr>
          <w:rFonts w:hint="eastAsia" w:ascii="黑体" w:hAnsi="黑体" w:eastAsia="黑体"/>
          <w:sz w:val="32"/>
          <w:szCs w:val="32"/>
        </w:rPr>
        <w:t>三、自评结论</w:t>
      </w:r>
    </w:p>
    <w:p w14:paraId="7F5BF162">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一是我中心高度重视项目评价工作，开展了绩效评价工作，促进了评价具体工作的落实。把绩效评价工作列入重要议事日程，切实抓紧抓好。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是充分认识和发挥自身预算绩效管理作用，制定具体措施，切实做好本部门的预算绩效监控工作。确定专人，将项目绩效运行工作责任落到实处。在具体工作中，共同配合，促进绩效评价工作的规范、有序、顺利开展。</w:t>
      </w:r>
    </w:p>
    <w:p w14:paraId="73BC7771">
      <w:pPr>
        <w:spacing w:line="580" w:lineRule="exact"/>
        <w:ind w:firstLine="640"/>
        <w:rPr>
          <w:rFonts w:ascii="黑体" w:hAnsi="黑体" w:eastAsia="黑体"/>
          <w:sz w:val="32"/>
          <w:szCs w:val="32"/>
        </w:rPr>
      </w:pPr>
      <w:r>
        <w:rPr>
          <w:rFonts w:hint="eastAsia" w:ascii="黑体" w:hAnsi="黑体" w:eastAsia="黑体"/>
          <w:sz w:val="32"/>
          <w:szCs w:val="32"/>
        </w:rPr>
        <w:t>四、存在的问题及相关建议</w:t>
      </w:r>
    </w:p>
    <w:p w14:paraId="57E19AD7">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一是财务室没有制定专门的项目资金管理办法，二是还需再加强成本控制，提高资金利用率</w:t>
      </w:r>
      <w:r>
        <w:rPr>
          <w:rFonts w:ascii="微软雅黑" w:hAnsi="微软雅黑" w:eastAsia="微软雅黑" w:cs="微软雅黑"/>
          <w:color w:val="333333"/>
          <w:sz w:val="24"/>
          <w:szCs w:val="24"/>
          <w:shd w:val="clear" w:color="auto" w:fill="FFFFFF"/>
        </w:rPr>
        <w:t>。</w:t>
      </w:r>
    </w:p>
    <w:p w14:paraId="5A80A8D8">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鉴于以上存在的问题，我中心会结合本单位实际情况和业务特点，制定专门的项目资金管理办法；加强对各项维修设施设备的流程改进，力争降底各项维采购的成本。</w:t>
      </w:r>
    </w:p>
    <w:p w14:paraId="418F7351">
      <w:pPr>
        <w:spacing w:line="580" w:lineRule="exact"/>
        <w:ind w:firstLine="640"/>
        <w:rPr>
          <w:rFonts w:ascii="仿宋_GB2312" w:hAnsi="仿宋_GB2312" w:eastAsia="仿宋_GB2312" w:cs="仿宋_GB2312"/>
          <w:sz w:val="32"/>
          <w:szCs w:val="32"/>
        </w:rPr>
      </w:pPr>
    </w:p>
    <w:p w14:paraId="640C171C">
      <w:pPr>
        <w:spacing w:line="580" w:lineRule="exact"/>
        <w:ind w:firstLine="3840"/>
        <w:rPr>
          <w:rFonts w:ascii="仿宋_GB2312" w:hAnsi="仿宋_GB2312" w:eastAsia="仿宋_GB2312" w:cs="仿宋_GB2312"/>
          <w:sz w:val="32"/>
          <w:szCs w:val="32"/>
        </w:rPr>
      </w:pPr>
    </w:p>
    <w:p w14:paraId="65932436">
      <w:pPr>
        <w:spacing w:line="580" w:lineRule="exact"/>
        <w:ind w:firstLine="3840"/>
        <w:rPr>
          <w:rFonts w:ascii="仿宋_GB2312" w:hAnsi="仿宋_GB2312" w:eastAsia="仿宋_GB2312" w:cs="仿宋_GB2312"/>
          <w:sz w:val="32"/>
          <w:szCs w:val="32"/>
        </w:rPr>
      </w:pPr>
    </w:p>
    <w:p w14:paraId="6E93512A">
      <w:pPr>
        <w:spacing w:line="580" w:lineRule="exact"/>
        <w:ind w:firstLine="5120"/>
        <w:rPr>
          <w:rFonts w:ascii="仿宋_GB2312" w:hAnsi="仿宋_GB2312" w:eastAsia="仿宋_GB2312" w:cs="仿宋_GB2312"/>
          <w:sz w:val="32"/>
          <w:szCs w:val="32"/>
        </w:rPr>
      </w:pPr>
    </w:p>
    <w:p w14:paraId="2931F8B6">
      <w:pPr>
        <w:spacing w:line="580" w:lineRule="exact"/>
        <w:ind w:firstLine="5120"/>
        <w:rPr>
          <w:rFonts w:ascii="仿宋_GB2312" w:hAnsi="仿宋_GB2312" w:eastAsia="仿宋_GB2312" w:cs="仿宋_GB2312"/>
          <w:sz w:val="32"/>
          <w:szCs w:val="32"/>
        </w:rPr>
      </w:pPr>
    </w:p>
    <w:p w14:paraId="4FF8CDF2">
      <w:pPr>
        <w:spacing w:line="580" w:lineRule="exact"/>
        <w:ind w:firstLine="5120"/>
        <w:rPr>
          <w:rFonts w:ascii="仿宋_GB2312" w:hAnsi="仿宋_GB2312" w:eastAsia="仿宋_GB2312" w:cs="仿宋_GB2312"/>
          <w:sz w:val="32"/>
          <w:szCs w:val="32"/>
        </w:rPr>
      </w:pPr>
    </w:p>
    <w:p w14:paraId="040F0848">
      <w:pPr>
        <w:spacing w:line="580" w:lineRule="exact"/>
        <w:ind w:firstLine="5120"/>
        <w:rPr>
          <w:rFonts w:ascii="仿宋_GB2312" w:hAnsi="仿宋_GB2312" w:eastAsia="仿宋_GB2312" w:cs="仿宋_GB2312"/>
          <w:sz w:val="32"/>
          <w:szCs w:val="32"/>
        </w:rPr>
      </w:pPr>
    </w:p>
    <w:p w14:paraId="17B4FC08">
      <w:pPr>
        <w:spacing w:line="580" w:lineRule="exact"/>
        <w:ind w:firstLine="5120"/>
        <w:rPr>
          <w:rFonts w:ascii="仿宋_GB2312" w:hAnsi="仿宋_GB2312" w:eastAsia="仿宋_GB2312" w:cs="仿宋_GB2312"/>
          <w:sz w:val="32"/>
          <w:szCs w:val="32"/>
        </w:rPr>
      </w:pPr>
    </w:p>
    <w:p w14:paraId="0B207339">
      <w:pPr>
        <w:spacing w:line="580" w:lineRule="exact"/>
        <w:ind w:firstLine="5120"/>
        <w:rPr>
          <w:rFonts w:ascii="仿宋_GB2312" w:hAnsi="仿宋_GB2312" w:eastAsia="仿宋_GB2312" w:cs="仿宋_GB2312"/>
          <w:sz w:val="32"/>
          <w:szCs w:val="32"/>
        </w:rPr>
      </w:pPr>
    </w:p>
    <w:p w14:paraId="72F14B0D">
      <w:pPr>
        <w:spacing w:line="580" w:lineRule="exact"/>
        <w:ind w:firstLine="5120"/>
        <w:rPr>
          <w:rFonts w:ascii="仿宋_GB2312" w:hAnsi="仿宋_GB2312" w:eastAsia="仿宋_GB2312" w:cs="仿宋_GB2312"/>
          <w:sz w:val="32"/>
          <w:szCs w:val="32"/>
        </w:rPr>
      </w:pPr>
    </w:p>
    <w:p w14:paraId="6E136A2D">
      <w:pPr>
        <w:spacing w:line="580" w:lineRule="exact"/>
        <w:ind w:firstLine="5120"/>
        <w:rPr>
          <w:rFonts w:ascii="仿宋_GB2312" w:hAnsi="仿宋_GB2312" w:eastAsia="仿宋_GB2312" w:cs="仿宋_GB2312"/>
          <w:sz w:val="32"/>
          <w:szCs w:val="32"/>
        </w:rPr>
      </w:pPr>
    </w:p>
    <w:p w14:paraId="313DED7D">
      <w:pPr>
        <w:spacing w:line="580" w:lineRule="exact"/>
        <w:ind w:firstLine="5120"/>
        <w:rPr>
          <w:rFonts w:ascii="仿宋_GB2312" w:hAnsi="仿宋_GB2312" w:eastAsia="仿宋_GB2312" w:cs="仿宋_GB2312"/>
          <w:sz w:val="32"/>
          <w:szCs w:val="32"/>
        </w:rPr>
      </w:pPr>
    </w:p>
    <w:p w14:paraId="3BD7FBB8">
      <w:pPr>
        <w:spacing w:line="580" w:lineRule="exact"/>
        <w:ind w:firstLine="5120"/>
        <w:rPr>
          <w:rFonts w:ascii="仿宋_GB2312" w:hAnsi="仿宋_GB2312" w:eastAsia="仿宋_GB2312" w:cs="仿宋_GB2312"/>
          <w:sz w:val="32"/>
          <w:szCs w:val="32"/>
        </w:rPr>
      </w:pPr>
    </w:p>
    <w:p w14:paraId="6B769921">
      <w:pPr>
        <w:spacing w:line="580" w:lineRule="exact"/>
        <w:ind w:firstLine="5120"/>
        <w:rPr>
          <w:rFonts w:ascii="仿宋_GB2312" w:hAnsi="仿宋_GB2312" w:eastAsia="仿宋_GB2312" w:cs="仿宋_GB2312"/>
          <w:sz w:val="32"/>
          <w:szCs w:val="32"/>
        </w:rPr>
      </w:pPr>
    </w:p>
    <w:p w14:paraId="55E9EC0F">
      <w:pPr>
        <w:spacing w:line="580" w:lineRule="exact"/>
        <w:ind w:firstLine="5120"/>
        <w:rPr>
          <w:rFonts w:ascii="仿宋_GB2312" w:hAnsi="仿宋_GB2312" w:eastAsia="仿宋_GB2312" w:cs="仿宋_GB2312"/>
          <w:sz w:val="32"/>
          <w:szCs w:val="32"/>
        </w:rPr>
      </w:pPr>
    </w:p>
    <w:p w14:paraId="04859028">
      <w:pPr>
        <w:spacing w:line="580" w:lineRule="exact"/>
        <w:ind w:firstLine="5120"/>
        <w:rPr>
          <w:rFonts w:ascii="仿宋_GB2312" w:hAnsi="仿宋_GB2312" w:eastAsia="仿宋_GB2312" w:cs="仿宋_GB2312"/>
          <w:sz w:val="32"/>
          <w:szCs w:val="32"/>
        </w:rPr>
      </w:pPr>
    </w:p>
    <w:p w14:paraId="0BE47168">
      <w:pPr>
        <w:spacing w:line="580" w:lineRule="exact"/>
        <w:ind w:firstLine="5120"/>
        <w:rPr>
          <w:rFonts w:ascii="仿宋_GB2312" w:hAnsi="仿宋_GB2312" w:eastAsia="仿宋_GB2312" w:cs="仿宋_GB2312"/>
          <w:sz w:val="32"/>
          <w:szCs w:val="32"/>
        </w:rPr>
      </w:pPr>
    </w:p>
    <w:p w14:paraId="4A590959">
      <w:pPr>
        <w:spacing w:line="580" w:lineRule="exact"/>
        <w:ind w:firstLine="5120"/>
        <w:rPr>
          <w:rFonts w:ascii="仿宋_GB2312" w:hAnsi="仿宋_GB2312" w:eastAsia="仿宋_GB2312" w:cs="仿宋_GB2312"/>
          <w:sz w:val="32"/>
          <w:szCs w:val="32"/>
        </w:rPr>
      </w:pPr>
    </w:p>
    <w:p w14:paraId="2C9B323E">
      <w:pPr>
        <w:spacing w:line="580" w:lineRule="exact"/>
        <w:ind w:firstLine="5120"/>
        <w:rPr>
          <w:rFonts w:ascii="仿宋_GB2312" w:hAnsi="仿宋_GB2312" w:eastAsia="仿宋_GB2312" w:cs="仿宋_GB2312"/>
          <w:sz w:val="32"/>
          <w:szCs w:val="32"/>
        </w:rPr>
      </w:pPr>
    </w:p>
    <w:p w14:paraId="5270C79D">
      <w:pPr>
        <w:spacing w:line="580" w:lineRule="exact"/>
        <w:ind w:firstLine="5120"/>
        <w:rPr>
          <w:rFonts w:ascii="仿宋_GB2312" w:hAnsi="仿宋_GB2312" w:eastAsia="仿宋_GB2312" w:cs="仿宋_GB2312"/>
          <w:sz w:val="32"/>
          <w:szCs w:val="32"/>
        </w:rPr>
      </w:pPr>
    </w:p>
    <w:p w14:paraId="71F08B4E">
      <w:pPr>
        <w:spacing w:line="580" w:lineRule="exact"/>
        <w:ind w:firstLine="5120"/>
        <w:rPr>
          <w:rFonts w:ascii="仿宋_GB2312" w:hAnsi="仿宋_GB2312" w:eastAsia="仿宋_GB2312" w:cs="仿宋_GB2312"/>
          <w:sz w:val="32"/>
          <w:szCs w:val="32"/>
        </w:rPr>
      </w:pPr>
    </w:p>
    <w:p w14:paraId="753B97A9">
      <w:pPr>
        <w:spacing w:line="580" w:lineRule="exact"/>
        <w:ind w:firstLine="5120"/>
        <w:rPr>
          <w:rFonts w:ascii="仿宋_GB2312" w:hAnsi="仿宋_GB2312" w:eastAsia="仿宋_GB2312" w:cs="仿宋_GB2312"/>
          <w:sz w:val="32"/>
          <w:szCs w:val="32"/>
        </w:rPr>
      </w:pPr>
    </w:p>
    <w:p w14:paraId="0A3D1ECE">
      <w:pPr>
        <w:spacing w:line="580" w:lineRule="exact"/>
        <w:rPr>
          <w:rFonts w:ascii="黑体" w:hAnsi="黑体" w:eastAsia="黑体"/>
          <w:sz w:val="32"/>
          <w:szCs w:val="32"/>
        </w:rPr>
      </w:pPr>
    </w:p>
    <w:p w14:paraId="5C220FF4">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山丹县机关事务中心</w:t>
      </w:r>
    </w:p>
    <w:p w14:paraId="7DE33787">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疫情防控期后勤运行经费及配餐经费</w:t>
      </w:r>
    </w:p>
    <w:p w14:paraId="11D3A94B">
      <w:pPr>
        <w:spacing w:line="58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支出绩效</w:t>
      </w:r>
      <w:r>
        <w:rPr>
          <w:rFonts w:hint="eastAsia" w:ascii="方正小标宋简体" w:eastAsia="方正小标宋简体"/>
          <w:sz w:val="44"/>
          <w:szCs w:val="44"/>
        </w:rPr>
        <w:t>自评报告</w:t>
      </w:r>
    </w:p>
    <w:p w14:paraId="2F373C41">
      <w:pPr>
        <w:spacing w:line="580" w:lineRule="exact"/>
        <w:rPr>
          <w:rFonts w:ascii="方正小标宋简体" w:eastAsia="方正小标宋简体"/>
          <w:sz w:val="44"/>
          <w:szCs w:val="44"/>
        </w:rPr>
      </w:pPr>
    </w:p>
    <w:p w14:paraId="3EFBECDE">
      <w:pPr>
        <w:spacing w:line="580" w:lineRule="exact"/>
        <w:ind w:firstLine="640"/>
        <w:rPr>
          <w:rFonts w:eastAsia="黑体"/>
          <w:sz w:val="32"/>
          <w:szCs w:val="32"/>
        </w:rPr>
      </w:pPr>
      <w:r>
        <w:rPr>
          <w:rFonts w:hint="eastAsia" w:eastAsia="黑体"/>
          <w:sz w:val="32"/>
          <w:szCs w:val="32"/>
        </w:rPr>
        <w:t>一、项目基本情况</w:t>
      </w:r>
    </w:p>
    <w:p w14:paraId="66DD2C70">
      <w:pPr>
        <w:spacing w:line="580" w:lineRule="exact"/>
        <w:ind w:firstLine="643"/>
        <w:rPr>
          <w:rFonts w:ascii="楷体_GB2312" w:eastAsia="楷体_GB2312"/>
          <w:b/>
          <w:sz w:val="32"/>
          <w:szCs w:val="32"/>
        </w:rPr>
      </w:pPr>
      <w:r>
        <w:rPr>
          <w:rFonts w:hint="eastAsia" w:ascii="楷体_GB2312" w:eastAsia="楷体_GB2312"/>
          <w:b/>
          <w:sz w:val="32"/>
          <w:szCs w:val="32"/>
        </w:rPr>
        <w:t>（一）项目概况</w:t>
      </w:r>
    </w:p>
    <w:p w14:paraId="0F11B16B">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2021-2022年新冠肺炎疫情防控期间，由县机关事务中心承担流调溯源组、隔离酒店及相关工作人员的配餐工作，同时承担医护人员、隔离人员接送等任务，因配餐供应及接送任务较重，各项开支费用较大，导致后勤保障运行经费严重不足，经研究解决拨付后勤保障经费80万元。2022年7月21日至9月5日疫情防控期间，县机关食堂为县委办、县防控办、县卫生健康局、县疾控中心、流调溯源组及19家隔离酒店参与疫情防控的工作人员提供工作餐，配餐标准每人每天 60元，经研究解决拨付后勤保障经费10万元。</w:t>
      </w:r>
    </w:p>
    <w:p w14:paraId="7E4F12B6">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山机事务[2023]22号关于解决疫情防控后勤运行经费资金的报告，财政拨付我中心疫情防控后勤运行经费费用资金80万元，根据山机事务[2023]12号关于解决疫情防控工作人员配餐经费资金的报告，财政拨付我中心疫情防控工作人员配餐经费费用资金10万元。共计90万元，为我中心解决疫情防控期间后勤工作提供有力保障。</w:t>
      </w:r>
    </w:p>
    <w:p w14:paraId="1B0F9258">
      <w:pPr>
        <w:numPr>
          <w:ilvl w:val="0"/>
          <w:numId w:val="7"/>
        </w:numPr>
        <w:spacing w:line="580" w:lineRule="exact"/>
        <w:ind w:firstLine="321"/>
        <w:rPr>
          <w:rFonts w:ascii="楷体_GB2312" w:eastAsia="楷体_GB2312"/>
          <w:b/>
          <w:sz w:val="32"/>
          <w:szCs w:val="32"/>
        </w:rPr>
      </w:pPr>
      <w:r>
        <w:rPr>
          <w:rFonts w:hint="eastAsia" w:ascii="楷体_GB2312" w:eastAsia="楷体_GB2312"/>
          <w:b/>
          <w:sz w:val="32"/>
          <w:szCs w:val="32"/>
        </w:rPr>
        <w:t>项目绩效目标</w:t>
      </w:r>
    </w:p>
    <w:p w14:paraId="15AB8622">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统筹调度机关食堂为县委办、县防控办、县卫生健康局、县疾控中心、流调溯源组及19家隔离酒店参与疫情防控的工作人员提供工作餐，承担流调溯源组、隔离酒店及相关工作人员的配餐工作，同时承担医护人员、隔离人员接送等任务。</w:t>
      </w:r>
    </w:p>
    <w:p w14:paraId="0FF7058B">
      <w:pPr>
        <w:spacing w:line="580" w:lineRule="exact"/>
        <w:ind w:firstLine="640"/>
        <w:rPr>
          <w:rFonts w:ascii="黑体" w:hAnsi="黑体" w:eastAsia="黑体"/>
          <w:sz w:val="32"/>
          <w:szCs w:val="32"/>
        </w:rPr>
      </w:pPr>
      <w:r>
        <w:rPr>
          <w:rFonts w:hint="eastAsia" w:ascii="黑体" w:hAnsi="黑体" w:eastAsia="黑体"/>
          <w:sz w:val="32"/>
          <w:szCs w:val="32"/>
        </w:rPr>
        <w:t>二、项目资金情况</w:t>
      </w:r>
    </w:p>
    <w:p w14:paraId="298BBC4D">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全年预算数90万元，疫情防控期间租车项目资金执行数90万元，预算执行率100%。</w:t>
      </w:r>
    </w:p>
    <w:p w14:paraId="685232B4">
      <w:pPr>
        <w:spacing w:line="580" w:lineRule="exact"/>
        <w:ind w:firstLine="640"/>
        <w:rPr>
          <w:rFonts w:ascii="黑体" w:hAnsi="黑体" w:eastAsia="黑体"/>
          <w:sz w:val="32"/>
          <w:szCs w:val="32"/>
        </w:rPr>
      </w:pPr>
      <w:r>
        <w:rPr>
          <w:rFonts w:hint="eastAsia" w:ascii="黑体" w:hAnsi="黑体" w:eastAsia="黑体"/>
          <w:sz w:val="32"/>
          <w:szCs w:val="32"/>
        </w:rPr>
        <w:t>三、绩效目标完成情况及效益分析</w:t>
      </w:r>
    </w:p>
    <w:p w14:paraId="18D0F398">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2023 年度，根据山机事务[2023]22号关于疫情防控后勤运行资金的报告，山机事务[2023]12号关于解决疫情防控工作人员配餐经费资金的报告，承接该项目，2023本年度开工率为100%，年度完成率为100%，共完成了统筹调度机关食堂为县委办、县防控办、县卫生健康局、县疾控中心、流调溯源组及19家隔离酒店参与疫情防控的工作人员提供工作餐，承担流调溯源组、隔离酒店及相关工作人员的配餐工作，同时承担医护人员、隔离人员接送等任务，截至今年7月，全部完成。 </w:t>
      </w:r>
    </w:p>
    <w:p w14:paraId="755A9EEE">
      <w:pPr>
        <w:spacing w:line="580" w:lineRule="exact"/>
        <w:ind w:firstLine="640"/>
        <w:rPr>
          <w:rFonts w:ascii="黑体" w:hAnsi="黑体" w:eastAsia="黑体"/>
          <w:sz w:val="32"/>
          <w:szCs w:val="32"/>
        </w:rPr>
      </w:pPr>
      <w:r>
        <w:rPr>
          <w:rFonts w:hint="eastAsia" w:ascii="黑体" w:hAnsi="黑体" w:eastAsia="黑体"/>
          <w:sz w:val="32"/>
          <w:szCs w:val="32"/>
        </w:rPr>
        <w:t>四、自评结论</w:t>
      </w:r>
    </w:p>
    <w:p w14:paraId="482B1158">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2023年，我单位积极履职，强化管理，全部按时并高质量完成了目标任务，产出指标50分，效益指标30分，服务对象满意度20分，自评分数为100分，完成绩效目标。</w:t>
      </w:r>
    </w:p>
    <w:p w14:paraId="4DAC69E5">
      <w:pPr>
        <w:numPr>
          <w:ilvl w:val="0"/>
          <w:numId w:val="3"/>
        </w:numPr>
        <w:spacing w:line="580" w:lineRule="exact"/>
        <w:ind w:firstLine="640"/>
        <w:rPr>
          <w:rFonts w:ascii="黑体" w:hAnsi="黑体" w:eastAsia="黑体"/>
          <w:sz w:val="32"/>
          <w:szCs w:val="32"/>
        </w:rPr>
      </w:pPr>
      <w:r>
        <w:rPr>
          <w:rFonts w:hint="eastAsia" w:ascii="黑体" w:hAnsi="黑体" w:eastAsia="黑体"/>
          <w:sz w:val="32"/>
          <w:szCs w:val="32"/>
        </w:rPr>
        <w:t>存在的问题</w:t>
      </w:r>
    </w:p>
    <w:p w14:paraId="5B3B5C4B">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体上我单位能够根据年初工作规划和重点工作，加强预算收支管理，建立健全内部管理制度，梳理内部管理流程，使部门整体支出管理情况得到提升，较好完成年度工作任务，但部门在绩效目标细化、资产管理等方面仍有待完善。</w:t>
      </w:r>
    </w:p>
    <w:p w14:paraId="1FA98E94">
      <w:pPr>
        <w:numPr>
          <w:ilvl w:val="0"/>
          <w:numId w:val="3"/>
        </w:numPr>
        <w:spacing w:line="580" w:lineRule="exact"/>
        <w:ind w:firstLine="640"/>
        <w:rPr>
          <w:rFonts w:ascii="黑体" w:hAnsi="黑体" w:eastAsia="黑体"/>
          <w:sz w:val="32"/>
          <w:szCs w:val="32"/>
        </w:rPr>
      </w:pPr>
      <w:r>
        <w:rPr>
          <w:rFonts w:hint="eastAsia" w:ascii="黑体" w:hAnsi="黑体" w:eastAsia="黑体"/>
          <w:sz w:val="32"/>
          <w:szCs w:val="32"/>
        </w:rPr>
        <w:t>下一步改进工作的措施</w:t>
      </w:r>
    </w:p>
    <w:p w14:paraId="0082224E">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1.科学合理编制预算。进一步提高预算管理意识，严格按照预算编制的相关制度和要求开展预算编制，提高预算编制的精细化、合理化程度。</w:t>
      </w:r>
    </w:p>
    <w:p w14:paraId="7508D87E">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2.加强专项资金管理，保证项目资金使用管理的规范性、安全性和有效性。</w:t>
      </w:r>
    </w:p>
    <w:p w14:paraId="47D12644">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3.科学设立绩效目标。仔细研究项目情况，结合单位实际，制定更加合理、更加易于考核量化的目标，更好的开展项目绩效工作。</w:t>
      </w:r>
    </w:p>
    <w:p w14:paraId="757A5499">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605390E">
      <w:pPr>
        <w:spacing w:line="580" w:lineRule="exact"/>
        <w:ind w:firstLine="5120"/>
        <w:rPr>
          <w:rFonts w:ascii="仿宋_GB2312" w:hAnsi="仿宋_GB2312" w:eastAsia="仿宋_GB2312" w:cs="仿宋_GB2312"/>
          <w:sz w:val="32"/>
          <w:szCs w:val="32"/>
        </w:rPr>
      </w:pPr>
    </w:p>
    <w:p w14:paraId="0AAA752E">
      <w:pPr>
        <w:spacing w:line="580" w:lineRule="exact"/>
        <w:ind w:firstLine="5120"/>
        <w:rPr>
          <w:rFonts w:ascii="仿宋_GB2312" w:hAnsi="仿宋_GB2312" w:eastAsia="仿宋_GB2312" w:cs="仿宋_GB2312"/>
          <w:sz w:val="32"/>
          <w:szCs w:val="32"/>
        </w:rPr>
      </w:pPr>
    </w:p>
    <w:p w14:paraId="6275D69C">
      <w:pPr>
        <w:spacing w:line="580" w:lineRule="exact"/>
        <w:ind w:firstLine="5120"/>
        <w:rPr>
          <w:rFonts w:ascii="仿宋_GB2312" w:hAnsi="仿宋_GB2312" w:eastAsia="仿宋_GB2312" w:cs="仿宋_GB2312"/>
          <w:sz w:val="32"/>
          <w:szCs w:val="32"/>
        </w:rPr>
      </w:pPr>
    </w:p>
    <w:p w14:paraId="38B55CED">
      <w:pPr>
        <w:spacing w:line="580" w:lineRule="exact"/>
        <w:ind w:firstLine="5120"/>
        <w:rPr>
          <w:rFonts w:ascii="仿宋_GB2312" w:hAnsi="仿宋_GB2312" w:eastAsia="仿宋_GB2312" w:cs="仿宋_GB2312"/>
          <w:sz w:val="32"/>
          <w:szCs w:val="32"/>
        </w:rPr>
      </w:pPr>
    </w:p>
    <w:p w14:paraId="5C1B6C11">
      <w:pPr>
        <w:spacing w:line="580" w:lineRule="exact"/>
        <w:ind w:firstLine="5120"/>
        <w:rPr>
          <w:rFonts w:ascii="仿宋_GB2312" w:hAnsi="仿宋_GB2312" w:eastAsia="仿宋_GB2312" w:cs="仿宋_GB2312"/>
          <w:sz w:val="32"/>
          <w:szCs w:val="32"/>
        </w:rPr>
      </w:pPr>
    </w:p>
    <w:p w14:paraId="5A447D36">
      <w:pPr>
        <w:spacing w:line="580" w:lineRule="exact"/>
        <w:ind w:firstLine="5120"/>
        <w:rPr>
          <w:rFonts w:ascii="仿宋_GB2312" w:hAnsi="仿宋_GB2312" w:eastAsia="仿宋_GB2312" w:cs="仿宋_GB2312"/>
          <w:sz w:val="32"/>
          <w:szCs w:val="32"/>
        </w:rPr>
      </w:pPr>
    </w:p>
    <w:p w14:paraId="479D12CC">
      <w:pPr>
        <w:spacing w:line="580" w:lineRule="exact"/>
        <w:ind w:firstLine="5120"/>
        <w:rPr>
          <w:rFonts w:ascii="仿宋_GB2312" w:hAnsi="仿宋_GB2312" w:eastAsia="仿宋_GB2312" w:cs="仿宋_GB2312"/>
          <w:sz w:val="32"/>
          <w:szCs w:val="32"/>
        </w:rPr>
      </w:pPr>
    </w:p>
    <w:p w14:paraId="30CE38F9">
      <w:pPr>
        <w:spacing w:line="580" w:lineRule="exact"/>
        <w:ind w:firstLine="5120"/>
        <w:rPr>
          <w:rFonts w:ascii="仿宋_GB2312" w:hAnsi="仿宋_GB2312" w:eastAsia="仿宋_GB2312" w:cs="仿宋_GB2312"/>
          <w:sz w:val="32"/>
          <w:szCs w:val="32"/>
        </w:rPr>
      </w:pPr>
    </w:p>
    <w:p w14:paraId="6C6129C2">
      <w:pPr>
        <w:spacing w:line="580" w:lineRule="exact"/>
        <w:ind w:firstLine="5120"/>
        <w:rPr>
          <w:rFonts w:ascii="仿宋_GB2312" w:hAnsi="仿宋_GB2312" w:eastAsia="仿宋_GB2312" w:cs="仿宋_GB2312"/>
          <w:sz w:val="32"/>
          <w:szCs w:val="32"/>
        </w:rPr>
      </w:pPr>
    </w:p>
    <w:p w14:paraId="6D798376">
      <w:pPr>
        <w:spacing w:line="580" w:lineRule="exact"/>
        <w:ind w:firstLine="5120"/>
        <w:rPr>
          <w:rFonts w:ascii="仿宋_GB2312" w:hAnsi="仿宋_GB2312" w:eastAsia="仿宋_GB2312" w:cs="仿宋_GB2312"/>
          <w:sz w:val="32"/>
          <w:szCs w:val="32"/>
        </w:rPr>
      </w:pPr>
    </w:p>
    <w:p w14:paraId="5AACBF8E">
      <w:pPr>
        <w:spacing w:line="580" w:lineRule="exact"/>
        <w:ind w:firstLine="5120"/>
        <w:rPr>
          <w:rFonts w:ascii="仿宋_GB2312" w:hAnsi="仿宋_GB2312" w:eastAsia="仿宋_GB2312" w:cs="仿宋_GB2312"/>
          <w:sz w:val="32"/>
          <w:szCs w:val="32"/>
        </w:rPr>
      </w:pPr>
    </w:p>
    <w:p w14:paraId="21FDAE30">
      <w:pPr>
        <w:spacing w:line="580" w:lineRule="exact"/>
        <w:ind w:firstLine="5120"/>
        <w:rPr>
          <w:rFonts w:ascii="仿宋_GB2312" w:hAnsi="仿宋_GB2312" w:eastAsia="仿宋_GB2312" w:cs="仿宋_GB2312"/>
          <w:sz w:val="32"/>
          <w:szCs w:val="32"/>
        </w:rPr>
      </w:pPr>
    </w:p>
    <w:p w14:paraId="6A364F2F">
      <w:pPr>
        <w:spacing w:line="580" w:lineRule="exact"/>
        <w:ind w:firstLine="5120"/>
        <w:rPr>
          <w:rFonts w:ascii="仿宋_GB2312" w:hAnsi="仿宋_GB2312" w:eastAsia="仿宋_GB2312" w:cs="仿宋_GB2312"/>
          <w:sz w:val="32"/>
          <w:szCs w:val="32"/>
        </w:rPr>
      </w:pPr>
    </w:p>
    <w:p w14:paraId="18395799">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山丹县机关事务中心</w:t>
      </w:r>
    </w:p>
    <w:p w14:paraId="63705E7C">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疫情防控期间租车费用支出</w:t>
      </w:r>
    </w:p>
    <w:p w14:paraId="708A09C9">
      <w:pPr>
        <w:spacing w:line="58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绩效</w:t>
      </w:r>
      <w:r>
        <w:rPr>
          <w:rFonts w:hint="eastAsia" w:ascii="方正小标宋简体" w:eastAsia="方正小标宋简体"/>
          <w:sz w:val="44"/>
          <w:szCs w:val="44"/>
        </w:rPr>
        <w:t>自评报告</w:t>
      </w:r>
    </w:p>
    <w:p w14:paraId="3E759526">
      <w:pPr>
        <w:spacing w:line="580" w:lineRule="exact"/>
        <w:rPr>
          <w:rFonts w:ascii="方正小标宋简体" w:eastAsia="方正小标宋简体"/>
          <w:sz w:val="44"/>
          <w:szCs w:val="44"/>
        </w:rPr>
      </w:pPr>
    </w:p>
    <w:p w14:paraId="41E92E05">
      <w:pPr>
        <w:spacing w:line="580" w:lineRule="exact"/>
        <w:ind w:firstLine="640"/>
        <w:rPr>
          <w:rFonts w:eastAsia="黑体"/>
          <w:sz w:val="32"/>
          <w:szCs w:val="32"/>
        </w:rPr>
      </w:pPr>
      <w:r>
        <w:rPr>
          <w:rFonts w:hint="eastAsia" w:eastAsia="黑体"/>
          <w:sz w:val="32"/>
          <w:szCs w:val="32"/>
        </w:rPr>
        <w:t>一、项目基本情况</w:t>
      </w:r>
    </w:p>
    <w:p w14:paraId="5ADA61B2">
      <w:pPr>
        <w:spacing w:line="580" w:lineRule="exact"/>
        <w:ind w:firstLine="643"/>
        <w:rPr>
          <w:rFonts w:ascii="楷体_GB2312" w:eastAsia="楷体_GB2312"/>
          <w:b/>
          <w:sz w:val="32"/>
          <w:szCs w:val="32"/>
        </w:rPr>
      </w:pPr>
      <w:r>
        <w:rPr>
          <w:rFonts w:hint="eastAsia" w:ascii="楷体_GB2312" w:eastAsia="楷体_GB2312"/>
          <w:b/>
          <w:sz w:val="32"/>
          <w:szCs w:val="32"/>
        </w:rPr>
        <w:t>（一）项目概况</w:t>
      </w:r>
    </w:p>
    <w:p w14:paraId="769C613F">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全力支持做好全县疫情防控工作，根据全县疫情防控需要，县机关事务中心统筹调度19辆公务用车用于转运核酸样本、隔离人员、防控物资等，但仍无法满足疫情防控用车需要。根据县政府工作安排，自8月23日至12月14日，县机关事务中心先后面向社会租用车辆共计19辆用于疫情防控工作，累计租用508天，租金 600元/天·辆，租赁费合计304800元。</w:t>
      </w:r>
    </w:p>
    <w:p w14:paraId="4D74B22C">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根据山机事务[2022]9号关于解决对解决疫情防控期间租车费用资金的报告，财政拨付我中心解决疫情防控期间租车费用资金30万元，为我中心解决疫情防控期间租车工作提供有力保障。</w:t>
      </w:r>
    </w:p>
    <w:p w14:paraId="5A864752">
      <w:pPr>
        <w:spacing w:line="580" w:lineRule="exact"/>
        <w:ind w:firstLine="321"/>
        <w:rPr>
          <w:rFonts w:ascii="楷体_GB2312" w:eastAsia="楷体_GB2312"/>
          <w:b/>
          <w:sz w:val="32"/>
          <w:szCs w:val="32"/>
        </w:rPr>
      </w:pPr>
      <w:r>
        <w:rPr>
          <w:rFonts w:hint="eastAsia" w:ascii="楷体_GB2312" w:eastAsia="楷体_GB2312"/>
          <w:b/>
          <w:sz w:val="32"/>
          <w:szCs w:val="32"/>
        </w:rPr>
        <w:t>（二）项目绩效目标</w:t>
      </w:r>
    </w:p>
    <w:p w14:paraId="3EA3FDCA">
      <w:pPr>
        <w:spacing w:line="580" w:lineRule="exact"/>
        <w:ind w:firstLine="640"/>
        <w:rPr>
          <w:rFonts w:ascii="仿宋_GB2312" w:hAnsi="黑体" w:eastAsia="仿宋_GB2312"/>
          <w:sz w:val="32"/>
          <w:szCs w:val="32"/>
        </w:rPr>
      </w:pPr>
      <w:r>
        <w:rPr>
          <w:rFonts w:hint="eastAsia" w:ascii="仿宋_GB2312" w:hAnsi="黑体" w:eastAsia="仿宋_GB2312"/>
          <w:sz w:val="32"/>
          <w:szCs w:val="32"/>
        </w:rPr>
        <w:t>严格按照合同规定，</w:t>
      </w:r>
      <w:r>
        <w:rPr>
          <w:rFonts w:hint="eastAsia" w:ascii="仿宋_GB2312" w:hAnsi="仿宋_GB2312" w:eastAsia="仿宋_GB2312" w:cs="仿宋_GB2312"/>
          <w:sz w:val="32"/>
          <w:szCs w:val="32"/>
        </w:rPr>
        <w:t>统筹调度19辆公务用车用于转运核酸样本、隔离人员、防控物资，</w:t>
      </w:r>
      <w:r>
        <w:rPr>
          <w:rFonts w:hint="eastAsia" w:ascii="仿宋_GB2312" w:hAnsi="黑体" w:eastAsia="仿宋_GB2312"/>
          <w:sz w:val="32"/>
          <w:szCs w:val="32"/>
        </w:rPr>
        <w:t>保障相关工作正常运行。</w:t>
      </w:r>
    </w:p>
    <w:p w14:paraId="7FF180C7">
      <w:pPr>
        <w:spacing w:line="580" w:lineRule="exact"/>
        <w:ind w:firstLine="640"/>
        <w:rPr>
          <w:rFonts w:ascii="黑体" w:hAnsi="黑体" w:eastAsia="黑体"/>
          <w:sz w:val="32"/>
          <w:szCs w:val="32"/>
        </w:rPr>
      </w:pPr>
      <w:r>
        <w:rPr>
          <w:rFonts w:hint="eastAsia" w:ascii="黑体" w:hAnsi="黑体" w:eastAsia="黑体"/>
          <w:sz w:val="32"/>
          <w:szCs w:val="32"/>
        </w:rPr>
        <w:t>二、项目资金情况</w:t>
      </w:r>
    </w:p>
    <w:p w14:paraId="528E13F3">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全年预算数30万元，疫情防控期间租车项目资金执行数30万元，预算执行率100%。</w:t>
      </w:r>
    </w:p>
    <w:p w14:paraId="384C6146">
      <w:pPr>
        <w:spacing w:line="580" w:lineRule="exact"/>
        <w:ind w:firstLine="640"/>
        <w:rPr>
          <w:rFonts w:ascii="黑体" w:hAnsi="黑体" w:eastAsia="黑体"/>
          <w:sz w:val="32"/>
          <w:szCs w:val="32"/>
        </w:rPr>
      </w:pPr>
      <w:r>
        <w:rPr>
          <w:rFonts w:hint="eastAsia" w:ascii="黑体" w:hAnsi="黑体" w:eastAsia="黑体"/>
          <w:sz w:val="32"/>
          <w:szCs w:val="32"/>
        </w:rPr>
        <w:t>三、绩效目标完成情况及效益分析</w:t>
      </w:r>
    </w:p>
    <w:p w14:paraId="60DFBA11">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2023 年度，根据山机事务[2022]9号关于疫情防控期间租车费用资金的报告，承接该项目，2023本年度开工率为100%，年度完成率为100%，共完成了统筹调度19辆公务用车用于转运核酸样本、隔离人员、防控物资，保障相关工作等任务，截至今年2月，全部完成。 </w:t>
      </w:r>
    </w:p>
    <w:p w14:paraId="6BB4AED8">
      <w:pPr>
        <w:spacing w:line="580" w:lineRule="exact"/>
        <w:ind w:firstLine="640"/>
        <w:rPr>
          <w:rFonts w:ascii="黑体" w:hAnsi="黑体" w:eastAsia="黑体"/>
          <w:sz w:val="32"/>
          <w:szCs w:val="32"/>
        </w:rPr>
      </w:pPr>
      <w:r>
        <w:rPr>
          <w:rFonts w:hint="eastAsia" w:ascii="黑体" w:hAnsi="黑体" w:eastAsia="黑体"/>
          <w:sz w:val="32"/>
          <w:szCs w:val="32"/>
        </w:rPr>
        <w:t>四、自评结论</w:t>
      </w:r>
    </w:p>
    <w:p w14:paraId="07FFFF9E">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2023年，我单位积极履职，强化管理，全部按时并高质量完成了目标任务，产出指标50分，效益指标30分，服务对象满意度20分，自评分数为100分，完成绩效目标。</w:t>
      </w:r>
    </w:p>
    <w:p w14:paraId="179F2C74">
      <w:pPr>
        <w:numPr>
          <w:ilvl w:val="0"/>
          <w:numId w:val="3"/>
        </w:numPr>
        <w:spacing w:line="580" w:lineRule="exact"/>
        <w:ind w:firstLine="640"/>
        <w:rPr>
          <w:rFonts w:ascii="黑体" w:hAnsi="黑体" w:eastAsia="黑体"/>
          <w:sz w:val="32"/>
          <w:szCs w:val="32"/>
        </w:rPr>
      </w:pPr>
      <w:r>
        <w:rPr>
          <w:rFonts w:hint="eastAsia" w:ascii="黑体" w:hAnsi="黑体" w:eastAsia="黑体"/>
          <w:sz w:val="32"/>
          <w:szCs w:val="32"/>
        </w:rPr>
        <w:t>存在的问题</w:t>
      </w:r>
    </w:p>
    <w:p w14:paraId="7F38D193">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体上我单位能够根据年初工作规划和重点工作，加强预算收支管理，建立健全内部管理制度，梳理内部管理流程，使部门整体支出管理情况得到提升，较好完成年度工作任务，但部门在绩效目标细化、资产管理等方面仍有待完善。</w:t>
      </w:r>
    </w:p>
    <w:p w14:paraId="60C2E174">
      <w:pPr>
        <w:numPr>
          <w:ilvl w:val="0"/>
          <w:numId w:val="3"/>
        </w:numPr>
        <w:spacing w:line="580" w:lineRule="exact"/>
        <w:ind w:firstLine="640"/>
        <w:rPr>
          <w:rFonts w:ascii="黑体" w:hAnsi="黑体" w:eastAsia="黑体"/>
          <w:sz w:val="32"/>
          <w:szCs w:val="32"/>
        </w:rPr>
      </w:pPr>
      <w:r>
        <w:rPr>
          <w:rFonts w:hint="eastAsia" w:ascii="黑体" w:hAnsi="黑体" w:eastAsia="黑体"/>
          <w:sz w:val="32"/>
          <w:szCs w:val="32"/>
        </w:rPr>
        <w:t>下一步改进工作的措施</w:t>
      </w:r>
    </w:p>
    <w:p w14:paraId="2E72C646">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1.科学合理编制预算。进一步提高预算管理意识，严格按照预算编制的相关制度和要求开展预算编制，提高预算编制的精细化、合理化程度。</w:t>
      </w:r>
    </w:p>
    <w:p w14:paraId="70470E44">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2.加强专项资金管理，保证项目资金使用管理的规范性、安全性和有效性。</w:t>
      </w:r>
    </w:p>
    <w:p w14:paraId="2F4EB7A7">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3.科学设立绩效目标。仔细研究项目情况，结合单位实际，制定更加合理、更加易于考核量化的目标，更好的开展项目绩效工作。</w:t>
      </w:r>
    </w:p>
    <w:p w14:paraId="424C5696">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1D3A3B6">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山丹县机关事务中心</w:t>
      </w:r>
    </w:p>
    <w:p w14:paraId="30E935DF">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原宾馆欠付供货商货款项目支出</w:t>
      </w:r>
    </w:p>
    <w:p w14:paraId="40A8C01C">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绩效自评报告</w:t>
      </w:r>
    </w:p>
    <w:p w14:paraId="46E807DF">
      <w:pPr>
        <w:spacing w:line="580" w:lineRule="exact"/>
        <w:rPr>
          <w:rFonts w:ascii="方正小标宋简体" w:eastAsia="方正小标宋简体"/>
          <w:sz w:val="44"/>
          <w:szCs w:val="44"/>
        </w:rPr>
      </w:pPr>
    </w:p>
    <w:p w14:paraId="58F5CB2A">
      <w:pPr>
        <w:spacing w:line="580" w:lineRule="exact"/>
        <w:ind w:firstLine="640"/>
        <w:rPr>
          <w:rFonts w:eastAsia="黑体"/>
          <w:sz w:val="32"/>
          <w:szCs w:val="32"/>
        </w:rPr>
      </w:pPr>
      <w:r>
        <w:rPr>
          <w:rFonts w:hint="eastAsia" w:eastAsia="黑体"/>
          <w:sz w:val="32"/>
          <w:szCs w:val="32"/>
        </w:rPr>
        <w:t>一、项目基本情况</w:t>
      </w:r>
    </w:p>
    <w:p w14:paraId="5EEFFC0D">
      <w:pPr>
        <w:spacing w:line="580" w:lineRule="exact"/>
        <w:ind w:firstLine="643"/>
        <w:rPr>
          <w:rFonts w:ascii="楷体_GB2312" w:eastAsia="楷体_GB2312"/>
          <w:b/>
          <w:sz w:val="32"/>
          <w:szCs w:val="32"/>
        </w:rPr>
      </w:pPr>
      <w:r>
        <w:rPr>
          <w:rFonts w:hint="eastAsia" w:ascii="楷体_GB2312" w:eastAsia="楷体_GB2312"/>
          <w:b/>
          <w:sz w:val="32"/>
          <w:szCs w:val="32"/>
        </w:rPr>
        <w:t>（一）项目概况</w:t>
      </w:r>
    </w:p>
    <w:p w14:paraId="72C8FC5F">
      <w:pPr>
        <w:spacing w:line="580" w:lineRule="exact"/>
        <w:ind w:firstLine="640"/>
        <w:rPr>
          <w:rFonts w:ascii="仿宋_GB2312" w:eastAsia="仿宋_GB2312"/>
          <w:sz w:val="32"/>
          <w:szCs w:val="32"/>
        </w:rPr>
      </w:pPr>
      <w:r>
        <w:rPr>
          <w:rFonts w:hint="eastAsia" w:ascii="仿宋_GB2312" w:eastAsia="仿宋_GB2312"/>
          <w:sz w:val="32"/>
          <w:szCs w:val="32"/>
        </w:rPr>
        <w:t>原山丹宾馆于2017年10月停业，在经营期间累计欠付供货商货款1164621.13元。2020-2022年，县政府已累计支付供货商货款800000元，尚欠364621.13元。2023年财政拨付我中心资金11万元，用于解决供货商货款。</w:t>
      </w:r>
    </w:p>
    <w:p w14:paraId="00F21192">
      <w:pPr>
        <w:spacing w:line="580" w:lineRule="exact"/>
        <w:ind w:firstLine="643"/>
        <w:rPr>
          <w:rFonts w:ascii="楷体_GB2312" w:eastAsia="楷体_GB2312"/>
          <w:b/>
          <w:sz w:val="32"/>
          <w:szCs w:val="32"/>
        </w:rPr>
      </w:pPr>
      <w:r>
        <w:rPr>
          <w:rFonts w:hint="eastAsia" w:ascii="楷体_GB2312" w:eastAsia="楷体_GB2312"/>
          <w:b/>
          <w:sz w:val="32"/>
          <w:szCs w:val="32"/>
        </w:rPr>
        <w:t>（二）项目绩效目标</w:t>
      </w:r>
    </w:p>
    <w:p w14:paraId="208163D1">
      <w:pPr>
        <w:spacing w:line="580" w:lineRule="exact"/>
        <w:ind w:firstLine="640"/>
        <w:rPr>
          <w:rFonts w:ascii="仿宋_GB2312" w:hAnsi="黑体" w:eastAsia="仿宋_GB2312"/>
          <w:sz w:val="32"/>
          <w:szCs w:val="32"/>
        </w:rPr>
      </w:pPr>
      <w:r>
        <w:rPr>
          <w:rFonts w:hint="eastAsia" w:ascii="仿宋_GB2312" w:hAnsi="黑体" w:eastAsia="仿宋_GB2312"/>
          <w:sz w:val="32"/>
          <w:szCs w:val="32"/>
        </w:rPr>
        <w:t>严格按照</w:t>
      </w:r>
      <w:r>
        <w:rPr>
          <w:rFonts w:hint="eastAsia" w:ascii="仿宋_GB2312" w:hAnsi="仿宋_GB2312" w:eastAsia="仿宋_GB2312" w:cs="仿宋_GB2312"/>
          <w:sz w:val="32"/>
          <w:szCs w:val="32"/>
        </w:rPr>
        <w:t>《山丹宾馆改革联席会议》《</w:t>
      </w:r>
      <w:r>
        <w:rPr>
          <w:rFonts w:hint="eastAsia" w:ascii="仿宋_GB2312" w:hAnsi="黑体" w:eastAsia="仿宋_GB2312"/>
          <w:sz w:val="32"/>
          <w:szCs w:val="32"/>
        </w:rPr>
        <w:t>山丹县审计局核实报告</w:t>
      </w:r>
      <w:r>
        <w:rPr>
          <w:rFonts w:hint="eastAsia" w:ascii="仿宋_GB2312" w:hAnsi="仿宋_GB2312" w:eastAsia="仿宋_GB2312" w:cs="仿宋_GB2312"/>
          <w:sz w:val="32"/>
          <w:szCs w:val="32"/>
        </w:rPr>
        <w:t>》</w:t>
      </w:r>
      <w:r>
        <w:rPr>
          <w:rFonts w:hint="eastAsia" w:ascii="仿宋_GB2312" w:hAnsi="黑体" w:eastAsia="仿宋_GB2312"/>
          <w:sz w:val="32"/>
          <w:szCs w:val="32"/>
        </w:rPr>
        <w:t>文件要求,对供货商货款进行支付。</w:t>
      </w:r>
    </w:p>
    <w:p w14:paraId="5ECB1D48">
      <w:pPr>
        <w:spacing w:line="580" w:lineRule="exact"/>
        <w:ind w:firstLine="643"/>
        <w:rPr>
          <w:rFonts w:ascii="黑体" w:hAnsi="黑体" w:eastAsia="黑体"/>
          <w:sz w:val="32"/>
          <w:szCs w:val="32"/>
        </w:rPr>
      </w:pPr>
      <w:r>
        <w:rPr>
          <w:rFonts w:hint="eastAsia" w:ascii="楷体_GB2312" w:eastAsia="楷体_GB2312"/>
          <w:b/>
          <w:sz w:val="32"/>
          <w:szCs w:val="32"/>
        </w:rPr>
        <w:t>（四）单位职能职责</w:t>
      </w:r>
    </w:p>
    <w:p w14:paraId="235FE054">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制定县直机关后勤事务工作规划，并组织实施促进全县机关后勤工作的改革和发展；负责政府行政机关场所内的各类房产、公共设施等国有资产的管理及维修改造；负责政府行政机关场所内水、电、暖供应和设施设备管理等后勤保障工作；负责政府行政机关场所文明创建、园林绿化、</w:t>
      </w:r>
      <w:r>
        <w:rPr>
          <w:rFonts w:hint="eastAsia" w:ascii="仿宋_GB2312" w:hAnsi="仿宋_GB2312" w:eastAsia="仿宋_GB2312" w:cs="仿宋_GB2312"/>
          <w:sz w:val="32"/>
          <w:szCs w:val="32"/>
          <w:lang w:val="en-US" w:eastAsia="zh-CN"/>
        </w:rPr>
        <w:t>环</w:t>
      </w:r>
      <w:r>
        <w:rPr>
          <w:rFonts w:hint="eastAsia" w:ascii="仿宋_GB2312" w:hAnsi="仿宋_GB2312" w:eastAsia="仿宋_GB2312" w:cs="仿宋_GB2312"/>
          <w:sz w:val="32"/>
          <w:szCs w:val="32"/>
        </w:rPr>
        <w:t>境卫生、社会治安、安全保卫、消防安全、会议服务、政府食堂管理等工作；负责全县公共机构节能工作；负责全县的公车管理、维修保养、调度使用、费用结算等工作，县级调研接待用车、司勤人员工资、车辆运行维护费用等公车相关工作；承办县委、人大、政府、政协交办的其他事项。</w:t>
      </w:r>
    </w:p>
    <w:p w14:paraId="7BB51DCE">
      <w:pPr>
        <w:spacing w:line="580" w:lineRule="exact"/>
        <w:ind w:firstLine="640"/>
        <w:rPr>
          <w:rFonts w:ascii="黑体" w:hAnsi="黑体" w:eastAsia="黑体"/>
          <w:sz w:val="32"/>
          <w:szCs w:val="32"/>
        </w:rPr>
      </w:pPr>
      <w:r>
        <w:rPr>
          <w:rFonts w:hint="eastAsia" w:ascii="黑体" w:hAnsi="黑体" w:eastAsia="黑体"/>
          <w:sz w:val="32"/>
          <w:szCs w:val="32"/>
        </w:rPr>
        <w:t>二、项目资金情况</w:t>
      </w:r>
    </w:p>
    <w:p w14:paraId="4771EFBA">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全年预算数11万元，</w:t>
      </w:r>
      <w:r>
        <w:rPr>
          <w:rFonts w:hint="eastAsia" w:ascii="仿宋_GB2312" w:eastAsia="仿宋_GB2312"/>
          <w:sz w:val="32"/>
          <w:szCs w:val="32"/>
        </w:rPr>
        <w:t>原宾馆欠付供货商货款</w:t>
      </w:r>
      <w:r>
        <w:rPr>
          <w:rFonts w:hint="eastAsia" w:ascii="仿宋_GB2312" w:hAnsi="仿宋_GB2312" w:eastAsia="仿宋_GB2312" w:cs="仿宋_GB2312"/>
          <w:sz w:val="32"/>
          <w:szCs w:val="32"/>
        </w:rPr>
        <w:t>执行数11万元，预算执行率100%。</w:t>
      </w:r>
    </w:p>
    <w:p w14:paraId="7F28C665">
      <w:pPr>
        <w:spacing w:line="580" w:lineRule="exact"/>
        <w:ind w:firstLine="640"/>
        <w:rPr>
          <w:rFonts w:ascii="黑体" w:hAnsi="黑体" w:eastAsia="黑体"/>
          <w:sz w:val="32"/>
          <w:szCs w:val="32"/>
        </w:rPr>
      </w:pPr>
      <w:r>
        <w:rPr>
          <w:rFonts w:hint="eastAsia" w:ascii="黑体" w:hAnsi="黑体" w:eastAsia="黑体"/>
          <w:sz w:val="32"/>
          <w:szCs w:val="32"/>
        </w:rPr>
        <w:t>三、绩效目标完成情况及效益分析</w:t>
      </w:r>
    </w:p>
    <w:p w14:paraId="72104583">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产出指标中预计完成时间为2023年12月31日前，实际于2023年5月31日前完成，提高了单位整体运转水平，所有绩效指标值均达到预期目标。</w:t>
      </w:r>
    </w:p>
    <w:p w14:paraId="502D3E5E">
      <w:pPr>
        <w:numPr>
          <w:ilvl w:val="0"/>
          <w:numId w:val="8"/>
        </w:numPr>
        <w:spacing w:line="580" w:lineRule="exact"/>
        <w:ind w:firstLine="640"/>
        <w:rPr>
          <w:rFonts w:ascii="黑体" w:hAnsi="黑体" w:eastAsia="黑体"/>
          <w:sz w:val="32"/>
          <w:szCs w:val="32"/>
        </w:rPr>
      </w:pPr>
      <w:r>
        <w:rPr>
          <w:rFonts w:hint="eastAsia" w:ascii="黑体" w:hAnsi="黑体" w:eastAsia="黑体"/>
          <w:sz w:val="32"/>
          <w:szCs w:val="32"/>
        </w:rPr>
        <w:t>自评结论</w:t>
      </w:r>
    </w:p>
    <w:p w14:paraId="6A15ED94">
      <w:pPr>
        <w:spacing w:line="580" w:lineRule="exact"/>
        <w:ind w:firstLine="640"/>
        <w:rPr>
          <w:rFonts w:ascii="黑体" w:hAnsi="黑体" w:eastAsia="黑体"/>
          <w:sz w:val="32"/>
          <w:szCs w:val="32"/>
        </w:rPr>
      </w:pPr>
      <w:r>
        <w:rPr>
          <w:rFonts w:hint="eastAsia" w:ascii="仿宋_GB2312" w:hAnsi="仿宋_GB2312" w:eastAsia="仿宋_GB2312" w:cs="仿宋_GB2312"/>
          <w:sz w:val="32"/>
          <w:szCs w:val="32"/>
        </w:rPr>
        <w:t>本项目自评得分94分，达到预期绩效目标。</w:t>
      </w:r>
    </w:p>
    <w:p w14:paraId="66ECB7B5">
      <w:pPr>
        <w:numPr>
          <w:ilvl w:val="0"/>
          <w:numId w:val="4"/>
        </w:numPr>
        <w:spacing w:line="580" w:lineRule="exact"/>
        <w:ind w:firstLine="640"/>
        <w:rPr>
          <w:rFonts w:ascii="黑体" w:hAnsi="黑体" w:eastAsia="黑体"/>
          <w:sz w:val="32"/>
          <w:szCs w:val="32"/>
        </w:rPr>
      </w:pPr>
      <w:r>
        <w:rPr>
          <w:rFonts w:hint="eastAsia" w:ascii="黑体" w:hAnsi="黑体" w:eastAsia="黑体"/>
          <w:sz w:val="32"/>
          <w:szCs w:val="32"/>
        </w:rPr>
        <w:t>存在的问题</w:t>
      </w:r>
    </w:p>
    <w:p w14:paraId="7B71C73B">
      <w:pPr>
        <w:spacing w:line="580" w:lineRule="exact"/>
        <w:ind w:firstLine="640"/>
        <w:rPr>
          <w:rFonts w:ascii="黑体" w:hAnsi="黑体" w:eastAsia="黑体"/>
          <w:sz w:val="32"/>
          <w:szCs w:val="32"/>
        </w:rPr>
      </w:pPr>
      <w:r>
        <w:rPr>
          <w:rFonts w:hint="eastAsia" w:ascii="仿宋_GB2312" w:hAnsi="仿宋_GB2312" w:eastAsia="仿宋_GB2312" w:cs="仿宋_GB2312"/>
          <w:sz w:val="32"/>
          <w:szCs w:val="32"/>
        </w:rPr>
        <w:t>1.强化政治理论学习和日常行为监管，提升干部队伍政治素质和工作作风。开展专业知识和业务技能培训，提升业务能力。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2.绩效管理的经验不足，项目的部分成果无法用指标形式表示；在绩效考评指标的设计上，有待完善。</w:t>
      </w:r>
    </w:p>
    <w:p w14:paraId="718966C3">
      <w:pPr>
        <w:numPr>
          <w:ilvl w:val="0"/>
          <w:numId w:val="4"/>
        </w:numPr>
        <w:spacing w:line="580" w:lineRule="exact"/>
        <w:ind w:firstLine="640"/>
        <w:rPr>
          <w:rFonts w:ascii="黑体" w:hAnsi="黑体" w:eastAsia="黑体"/>
          <w:sz w:val="32"/>
          <w:szCs w:val="32"/>
        </w:rPr>
      </w:pPr>
      <w:r>
        <w:rPr>
          <w:rFonts w:hint="eastAsia" w:ascii="黑体" w:hAnsi="黑体" w:eastAsia="黑体"/>
          <w:sz w:val="32"/>
          <w:szCs w:val="32"/>
        </w:rPr>
        <w:t>下一步改进措施</w:t>
      </w:r>
    </w:p>
    <w:p w14:paraId="4B48AE7D">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持续提升服务质量。牢固树立服务意识，主动谋划、精准施策，用心用情、积极作为，为县委、县政府，县级各部门单位，广大干部职工提高更优质、周到的服务。</w:t>
      </w:r>
    </w:p>
    <w:p w14:paraId="3C4C8061">
      <w:pPr>
        <w:spacing w:line="580" w:lineRule="exact"/>
        <w:ind w:firstLine="3840"/>
        <w:rPr>
          <w:rFonts w:ascii="仿宋_GB2312" w:hAnsi="仿宋_GB2312" w:eastAsia="仿宋_GB2312" w:cs="仿宋_GB2312"/>
          <w:sz w:val="32"/>
          <w:szCs w:val="32"/>
        </w:rPr>
      </w:pPr>
    </w:p>
    <w:p w14:paraId="6995D3C0">
      <w:pPr>
        <w:spacing w:line="580" w:lineRule="exact"/>
        <w:rPr>
          <w:rFonts w:ascii="仿宋_GB2312" w:hAnsi="仿宋_GB2312" w:eastAsia="仿宋_GB2312" w:cs="仿宋_GB2312"/>
          <w:sz w:val="32"/>
          <w:szCs w:val="32"/>
        </w:rPr>
      </w:pPr>
    </w:p>
    <w:p w14:paraId="4E7525C6">
      <w:pPr>
        <w:spacing w:line="580" w:lineRule="exact"/>
        <w:rPr>
          <w:rFonts w:ascii="仿宋_GB2312" w:hAnsi="仿宋_GB2312" w:eastAsia="仿宋_GB2312" w:cs="仿宋_GB2312"/>
          <w:sz w:val="32"/>
          <w:szCs w:val="32"/>
        </w:rPr>
      </w:pPr>
    </w:p>
    <w:p w14:paraId="5716F274">
      <w:pPr>
        <w:spacing w:line="580" w:lineRule="exact"/>
        <w:rPr>
          <w:rFonts w:ascii="仿宋_GB2312" w:hAnsi="仿宋_GB2312" w:eastAsia="仿宋_GB2312" w:cs="仿宋_GB2312"/>
          <w:sz w:val="32"/>
          <w:szCs w:val="32"/>
        </w:rPr>
      </w:pPr>
    </w:p>
    <w:p w14:paraId="1779D8E3">
      <w:pPr>
        <w:spacing w:line="580" w:lineRule="exact"/>
        <w:rPr>
          <w:rFonts w:ascii="仿宋_GB2312" w:hAnsi="仿宋_GB2312" w:eastAsia="仿宋_GB2312" w:cs="仿宋_GB2312"/>
          <w:sz w:val="32"/>
          <w:szCs w:val="32"/>
        </w:rPr>
      </w:pPr>
    </w:p>
    <w:p w14:paraId="7ABBF389">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山丹县人民政府政务服务中心</w:t>
      </w:r>
    </w:p>
    <w:p w14:paraId="26E2BF1C">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项目支出绩效自评报告</w:t>
      </w:r>
    </w:p>
    <w:p w14:paraId="48D4C353">
      <w:pPr>
        <w:spacing w:line="580" w:lineRule="exact"/>
        <w:jc w:val="center"/>
        <w:rPr>
          <w:rFonts w:ascii="方正小标宋简体" w:eastAsia="方正小标宋简体"/>
          <w:sz w:val="44"/>
          <w:szCs w:val="44"/>
        </w:rPr>
      </w:pPr>
    </w:p>
    <w:p w14:paraId="120A1F51">
      <w:pPr>
        <w:spacing w:line="580" w:lineRule="exact"/>
        <w:ind w:firstLine="640"/>
        <w:rPr>
          <w:rFonts w:eastAsia="黑体"/>
          <w:sz w:val="32"/>
          <w:szCs w:val="32"/>
        </w:rPr>
      </w:pPr>
      <w:r>
        <w:rPr>
          <w:rFonts w:hint="eastAsia" w:eastAsia="黑体"/>
          <w:sz w:val="32"/>
          <w:szCs w:val="32"/>
        </w:rPr>
        <w:t>一、项目基本情况</w:t>
      </w:r>
    </w:p>
    <w:p w14:paraId="085E40FB">
      <w:pPr>
        <w:spacing w:line="580" w:lineRule="exact"/>
        <w:ind w:firstLine="643"/>
        <w:rPr>
          <w:rFonts w:ascii="楷体_GB2312" w:eastAsia="楷体_GB2312"/>
          <w:b/>
          <w:sz w:val="32"/>
          <w:szCs w:val="32"/>
        </w:rPr>
      </w:pPr>
      <w:r>
        <w:rPr>
          <w:rFonts w:hint="eastAsia" w:ascii="楷体_GB2312" w:eastAsia="楷体_GB2312"/>
          <w:b/>
          <w:sz w:val="32"/>
          <w:szCs w:val="32"/>
        </w:rPr>
        <w:t>（一）维修改造非机动车车棚项目概况</w:t>
      </w:r>
    </w:p>
    <w:p w14:paraId="03DB6896">
      <w:pPr>
        <w:pStyle w:val="185"/>
        <w:spacing w:line="580" w:lineRule="exact"/>
        <w:ind w:firstLine="640"/>
        <w:rPr>
          <w:rFonts w:ascii="仿宋_GB2312" w:eastAsia="仿宋_GB2312" w:cs="Times New Roman"/>
          <w:sz w:val="32"/>
          <w:szCs w:val="32"/>
        </w:rPr>
      </w:pPr>
      <w:r>
        <w:rPr>
          <w:rFonts w:hint="eastAsia" w:ascii="仿宋_GB2312" w:eastAsia="仿宋_GB2312" w:cs="Times New Roman"/>
          <w:sz w:val="32"/>
          <w:szCs w:val="32"/>
        </w:rPr>
        <w:t>为加强政务服务中心非机动车的停放管理，规范停车秩序，方便办事群众的车辆停放，实现非机动电瓶车停放与办公楼宇的物理隔断，化解消防安全隐患，解决办事群众非机动车在夏日时受太阳的暴晒，雨雪天气车身积雪结冰等给干部职工和办事群众带来不便的问题，山丹县政务服务中心按照“合理设置、使用方便、安全可靠”的原则，在中心大楼后方空地修建了停车棚，安装了充电桩。现予以对2017年修建车棚进行彻底维修改造，排除安全隐患。</w:t>
      </w:r>
    </w:p>
    <w:p w14:paraId="413724F5">
      <w:pPr>
        <w:pStyle w:val="185"/>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本项目建设具体包括：（1）阳光板采购、拆除、安装工程；（2）车棚钢架喷漆工程；（3）挖基坑土方、清运工程；（4）立柱混凝土基础工程；（5）面包砖拆除及铺设工程。</w:t>
      </w:r>
    </w:p>
    <w:p w14:paraId="318BB403">
      <w:pPr>
        <w:spacing w:line="580" w:lineRule="exact"/>
        <w:ind w:firstLine="643"/>
        <w:rPr>
          <w:rFonts w:ascii="楷体_GB2312" w:eastAsia="楷体_GB2312"/>
          <w:b/>
          <w:sz w:val="32"/>
          <w:szCs w:val="32"/>
        </w:rPr>
      </w:pPr>
      <w:r>
        <w:rPr>
          <w:rFonts w:hint="eastAsia" w:ascii="楷体_GB2312" w:eastAsia="楷体_GB2312"/>
          <w:b/>
          <w:sz w:val="32"/>
          <w:szCs w:val="32"/>
        </w:rPr>
        <w:t>（二）项目绩效目标</w:t>
      </w:r>
    </w:p>
    <w:p w14:paraId="5FEDAD14">
      <w:pPr>
        <w:pStyle w:val="185"/>
        <w:spacing w:line="580" w:lineRule="exact"/>
        <w:ind w:firstLine="640"/>
        <w:rPr>
          <w:rFonts w:ascii="仿宋_GB2312" w:eastAsia="仿宋_GB2312" w:cs="Times New Roman"/>
          <w:sz w:val="32"/>
          <w:szCs w:val="32"/>
        </w:rPr>
      </w:pPr>
      <w:r>
        <w:rPr>
          <w:rFonts w:hint="eastAsia" w:ascii="仿宋_GB2312" w:eastAsia="仿宋_GB2312" w:cs="Times New Roman"/>
          <w:sz w:val="32"/>
          <w:szCs w:val="32"/>
        </w:rPr>
        <w:t>认真贯彻落实“我为群众办实事”相关举措，时刻把群众财产安全和需求作为工作的出发点和落脚点，切实为群众创造一个标准、舒适的办公环境，保障车辆安全存放和人员安全，不断增强人民群众获得感、幸福感和安全感。</w:t>
      </w:r>
    </w:p>
    <w:p w14:paraId="00A19CF6">
      <w:pPr>
        <w:spacing w:line="580" w:lineRule="exact"/>
        <w:ind w:firstLine="640"/>
        <w:rPr>
          <w:rFonts w:ascii="黑体" w:hAnsi="黑体" w:eastAsia="黑体"/>
          <w:sz w:val="32"/>
          <w:szCs w:val="32"/>
        </w:rPr>
      </w:pPr>
      <w:r>
        <w:rPr>
          <w:rFonts w:hint="eastAsia" w:ascii="黑体" w:hAnsi="黑体" w:eastAsia="黑体"/>
          <w:sz w:val="32"/>
          <w:szCs w:val="32"/>
        </w:rPr>
        <w:t>二、项目资金情况</w:t>
      </w:r>
    </w:p>
    <w:p w14:paraId="6AC34139">
      <w:pPr>
        <w:spacing w:line="580" w:lineRule="exact"/>
        <w:ind w:firstLine="640"/>
        <w:rPr>
          <w:rFonts w:ascii="仿宋" w:hAnsi="仿宋" w:eastAsia="仿宋" w:cs="仿宋"/>
          <w:sz w:val="32"/>
          <w:szCs w:val="32"/>
        </w:rPr>
      </w:pPr>
      <w:r>
        <w:rPr>
          <w:rFonts w:hint="eastAsia" w:ascii="仿宋_GB2312" w:eastAsia="仿宋_GB2312"/>
          <w:sz w:val="32"/>
          <w:szCs w:val="32"/>
        </w:rPr>
        <w:t>山丹县人民政府政务服务中心维修改造非机动车车棚项目预算资金4.8万元</w:t>
      </w:r>
      <w:r>
        <w:rPr>
          <w:rFonts w:hint="eastAsia" w:ascii="仿宋" w:hAnsi="仿宋" w:eastAsia="仿宋" w:cs="仿宋"/>
          <w:sz w:val="32"/>
          <w:szCs w:val="32"/>
        </w:rPr>
        <w:t>，资金来源县财政局拨付。该项目经建设公司实地考察并报价，我中心对该项目进行三方询价，确定建设资金4.8万元。项目实施单位是山丹县人民政府政务服务中心，项目实施地在山丹县人民政府政务服务中心，工期为7天，计划开工日期：2023年7月13日，计划竣工日期：2023年7月19日。实际开工时间为：2023年7月29日。实际竣工日期为2023年8月3日。完工后山丹县人民政府政务服务中心于2023年8月3日进行了验收。</w:t>
      </w:r>
    </w:p>
    <w:p w14:paraId="750A7038">
      <w:pPr>
        <w:spacing w:line="580" w:lineRule="exact"/>
        <w:ind w:firstLine="640"/>
        <w:rPr>
          <w:rFonts w:ascii="黑体" w:hAnsi="黑体" w:eastAsia="黑体"/>
          <w:sz w:val="32"/>
          <w:szCs w:val="32"/>
        </w:rPr>
      </w:pPr>
      <w:r>
        <w:rPr>
          <w:rFonts w:hint="eastAsia" w:ascii="黑体" w:hAnsi="黑体" w:eastAsia="黑体"/>
          <w:sz w:val="32"/>
          <w:szCs w:val="32"/>
        </w:rPr>
        <w:t>三、绩效目标完成情况及效益分析</w:t>
      </w:r>
    </w:p>
    <w:p w14:paraId="30B7E834">
      <w:pPr>
        <w:spacing w:line="580" w:lineRule="exact"/>
        <w:ind w:firstLine="640"/>
        <w:rPr>
          <w:rFonts w:ascii="仿宋_GB2312" w:eastAsia="仿宋_GB2312"/>
          <w:sz w:val="32"/>
          <w:szCs w:val="32"/>
        </w:rPr>
      </w:pPr>
      <w:r>
        <w:rPr>
          <w:rFonts w:hint="eastAsia" w:ascii="仿宋_GB2312" w:eastAsia="仿宋_GB2312"/>
          <w:sz w:val="32"/>
          <w:szCs w:val="32"/>
        </w:rPr>
        <w:t>经评价：项目资金足额落实到位，无超范围、违规、挪用项目资金现象，项目产出质量、产出时效、产出成本、项目效果等方面工作成效显著。</w:t>
      </w:r>
    </w:p>
    <w:p w14:paraId="2DF86686">
      <w:pPr>
        <w:spacing w:line="580" w:lineRule="exact"/>
        <w:ind w:firstLine="640"/>
        <w:rPr>
          <w:rFonts w:ascii="黑体" w:hAnsi="黑体" w:eastAsia="黑体"/>
          <w:sz w:val="32"/>
          <w:szCs w:val="32"/>
        </w:rPr>
      </w:pPr>
      <w:r>
        <w:rPr>
          <w:rFonts w:hint="eastAsia" w:ascii="黑体" w:hAnsi="黑体" w:eastAsia="黑体"/>
          <w:sz w:val="32"/>
          <w:szCs w:val="32"/>
        </w:rPr>
        <w:t>四、自评结论</w:t>
      </w:r>
    </w:p>
    <w:p w14:paraId="562362B1">
      <w:pPr>
        <w:spacing w:line="580" w:lineRule="exact"/>
        <w:ind w:firstLine="640"/>
        <w:rPr>
          <w:rFonts w:ascii="仿宋_GB2312" w:eastAsia="仿宋_GB2312"/>
          <w:sz w:val="32"/>
          <w:szCs w:val="32"/>
        </w:rPr>
      </w:pPr>
      <w:r>
        <w:rPr>
          <w:rFonts w:hint="eastAsia" w:ascii="仿宋_GB2312" w:eastAsia="仿宋_GB2312"/>
          <w:sz w:val="32"/>
          <w:szCs w:val="32"/>
        </w:rPr>
        <w:t>依据县级财政专项资金绩效评价指标体系，结合项目实施情况，对山丹县人民政府政务服务中心维修改造非机动车车棚项目自评评价得分90分。</w:t>
      </w:r>
    </w:p>
    <w:p w14:paraId="6F87FABD">
      <w:pPr>
        <w:spacing w:line="580" w:lineRule="exact"/>
        <w:ind w:firstLine="640"/>
        <w:rPr>
          <w:rFonts w:ascii="黑体" w:hAnsi="黑体" w:eastAsia="黑体"/>
          <w:sz w:val="32"/>
          <w:szCs w:val="32"/>
        </w:rPr>
      </w:pPr>
      <w:r>
        <w:rPr>
          <w:rFonts w:hint="eastAsia" w:ascii="黑体" w:hAnsi="黑体" w:eastAsia="黑体"/>
          <w:sz w:val="32"/>
          <w:szCs w:val="32"/>
        </w:rPr>
        <w:t>五、存在的问题（说明未完成绩效目标及其原因）</w:t>
      </w:r>
    </w:p>
    <w:p w14:paraId="7C875D1D">
      <w:pPr>
        <w:spacing w:line="580" w:lineRule="exact"/>
        <w:ind w:firstLine="640"/>
        <w:rPr>
          <w:rFonts w:ascii="仿宋_GB2312" w:eastAsia="仿宋_GB2312"/>
          <w:sz w:val="32"/>
          <w:szCs w:val="32"/>
        </w:rPr>
      </w:pPr>
      <w:r>
        <w:rPr>
          <w:rFonts w:hint="eastAsia" w:ascii="仿宋_GB2312" w:eastAsia="仿宋_GB2312"/>
          <w:sz w:val="32"/>
          <w:szCs w:val="32"/>
        </w:rPr>
        <w:t>维修改造非机动车车棚项目验收完成。</w:t>
      </w:r>
    </w:p>
    <w:p w14:paraId="69CCE7A0">
      <w:pPr>
        <w:spacing w:line="580" w:lineRule="exact"/>
        <w:ind w:firstLine="640"/>
        <w:rPr>
          <w:rFonts w:ascii="黑体" w:hAnsi="黑体" w:eastAsia="黑体"/>
          <w:sz w:val="32"/>
          <w:szCs w:val="32"/>
        </w:rPr>
      </w:pPr>
      <w:r>
        <w:rPr>
          <w:rFonts w:hint="eastAsia" w:ascii="黑体" w:hAnsi="黑体" w:eastAsia="黑体"/>
          <w:sz w:val="32"/>
          <w:szCs w:val="32"/>
        </w:rPr>
        <w:t>六、下一步改进工作的措施</w:t>
      </w:r>
    </w:p>
    <w:p w14:paraId="47E63EAF">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（1）对专项资金管理使用的各个环节严格把关，做到项目资金专账核算、专款专用、专人负责。</w:t>
      </w:r>
    </w:p>
    <w:p w14:paraId="7F721F42">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（2）对项目资料进行专人管理。</w:t>
      </w:r>
    </w:p>
    <w:p w14:paraId="5D81FEEC">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（3）工程建设单位严格监管工程质量和7*24小时维护响应，保证工程质量达标，确保项目资金的支付进度。</w:t>
      </w:r>
    </w:p>
    <w:p w14:paraId="4E277D72">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山丹县信息化工作办公室</w:t>
      </w:r>
    </w:p>
    <w:p w14:paraId="19FEAE3B">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智慧城市项目支出绩效自评报告</w:t>
      </w:r>
    </w:p>
    <w:p w14:paraId="76FBBD6B">
      <w:pPr>
        <w:spacing w:line="580" w:lineRule="exact"/>
        <w:rPr>
          <w:rFonts w:ascii="Times New Roman" w:eastAsia="楷体_GB2312"/>
          <w:sz w:val="32"/>
          <w:szCs w:val="32"/>
        </w:rPr>
      </w:pPr>
    </w:p>
    <w:p w14:paraId="04406EE4">
      <w:pPr>
        <w:spacing w:line="580" w:lineRule="exact"/>
        <w:ind w:firstLine="640"/>
        <w:rPr>
          <w:rFonts w:eastAsia="黑体"/>
          <w:sz w:val="32"/>
          <w:szCs w:val="32"/>
        </w:rPr>
      </w:pPr>
      <w:r>
        <w:rPr>
          <w:rFonts w:hint="eastAsia" w:eastAsia="黑体"/>
          <w:sz w:val="32"/>
          <w:szCs w:val="32"/>
        </w:rPr>
        <w:t>一、项目基本情况</w:t>
      </w:r>
    </w:p>
    <w:p w14:paraId="722BC2FC">
      <w:pPr>
        <w:spacing w:line="580" w:lineRule="exact"/>
        <w:ind w:firstLine="643"/>
        <w:rPr>
          <w:rFonts w:ascii="楷体_GB2312" w:eastAsia="楷体_GB2312"/>
          <w:b/>
          <w:sz w:val="32"/>
          <w:szCs w:val="32"/>
        </w:rPr>
      </w:pPr>
      <w:r>
        <w:rPr>
          <w:rFonts w:hint="eastAsia" w:ascii="楷体_GB2312" w:eastAsia="楷体_GB2312"/>
          <w:b/>
          <w:sz w:val="32"/>
          <w:szCs w:val="32"/>
        </w:rPr>
        <w:t>（一）山丹县智慧城市项目概况</w:t>
      </w:r>
    </w:p>
    <w:p w14:paraId="79C74977">
      <w:pPr>
        <w:pStyle w:val="185"/>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经2021年县政府第十次常务会议研究同意，山丹县信息化工作办公室委托甘肃省通信产业服务有限公司完成《山丹县智慧城市建设项目可行性研究报告》。该项目经张掖市工程咨询中心可行性研究评估通过，县发改局下达了《关于山丹县智慧城市建设项目可行性研究报告的批复》（山发改</w:t>
      </w:r>
      <w:r>
        <w:rPr>
          <w:rFonts w:hint="eastAsia" w:ascii="仿宋_GB2312" w:hAnsi="黑体" w:eastAsia="仿宋_GB2312"/>
          <w:sz w:val="32"/>
          <w:szCs w:val="32"/>
        </w:rPr>
        <w:t>〔</w:t>
      </w:r>
      <w:r>
        <w:rPr>
          <w:rFonts w:ascii="仿宋_GB2312" w:hAnsi="黑体" w:eastAsia="仿宋_GB2312"/>
          <w:sz w:val="32"/>
          <w:szCs w:val="32"/>
        </w:rPr>
        <w:t>20</w:t>
      </w:r>
      <w:r>
        <w:rPr>
          <w:rFonts w:hint="eastAsia" w:ascii="仿宋_GB2312" w:hAnsi="黑体" w:eastAsia="仿宋_GB2312"/>
          <w:sz w:val="32"/>
          <w:szCs w:val="32"/>
        </w:rPr>
        <w:t>21〕239号</w:t>
      </w:r>
      <w:r>
        <w:rPr>
          <w:rFonts w:hint="eastAsia" w:ascii="仿宋_GB2312" w:hAnsi="仿宋_GB2312" w:eastAsia="仿宋_GB2312" w:cs="仿宋_GB2312"/>
          <w:sz w:val="32"/>
          <w:szCs w:val="32"/>
        </w:rPr>
        <w:t>）。本项目建设具体包括：（1）装修改建设管理中心。在文化旅游创意中心三楼装修改建约600平米的管理中心，分别设置了指挥大厅、会议会商室、办公室、值班室，配套安装相关硬件设施。（二）部署两个支撑平台。一是建设山丹县公共视频资源共享调度平台，</w:t>
      </w:r>
      <w:r>
        <w:rPr>
          <w:rFonts w:ascii="仿宋_GB2312" w:hAnsi="仿宋_GB2312" w:eastAsia="仿宋_GB2312" w:cs="仿宋_GB2312"/>
          <w:sz w:val="32"/>
          <w:szCs w:val="32"/>
        </w:rPr>
        <w:t>可</w:t>
      </w:r>
      <w:r>
        <w:rPr>
          <w:rFonts w:hint="eastAsia" w:ascii="仿宋_GB2312" w:hAnsi="仿宋_GB2312" w:eastAsia="仿宋_GB2312" w:cs="仿宋_GB2312"/>
          <w:sz w:val="32"/>
          <w:szCs w:val="32"/>
        </w:rPr>
        <w:t>接入10000路</w:t>
      </w:r>
      <w:r>
        <w:rPr>
          <w:rFonts w:ascii="仿宋_GB2312" w:hAnsi="仿宋_GB2312" w:eastAsia="仿宋_GB2312" w:cs="仿宋_GB2312"/>
          <w:sz w:val="32"/>
          <w:szCs w:val="32"/>
        </w:rPr>
        <w:t>公共视频</w:t>
      </w:r>
      <w:r>
        <w:rPr>
          <w:rFonts w:hint="eastAsia" w:ascii="仿宋_GB2312" w:hAnsi="仿宋_GB2312" w:eastAsia="仿宋_GB2312" w:cs="仿宋_GB2312"/>
          <w:sz w:val="32"/>
          <w:szCs w:val="32"/>
        </w:rPr>
        <w:t>，逐步整合综治、公安、城管、安监、教育等重要单位的视频资源，实现全县范围内可利用的视频资源在城市数字孪生平台统一调阅、统一使用，在达到监控城市运行、跨部门应急指挥联动的作用。二是建设城市数字孪生平台，</w:t>
      </w:r>
      <w:r>
        <w:rPr>
          <w:rFonts w:ascii="仿宋_GB2312" w:hAnsi="等线" w:eastAsia="仿宋_GB2312" w:cs="仿宋_GB2312"/>
          <w:color w:val="000000"/>
          <w:sz w:val="32"/>
          <w:szCs w:val="32"/>
        </w:rPr>
        <w:t>基于数字孪生技术，</w:t>
      </w:r>
      <w:r>
        <w:rPr>
          <w:rFonts w:hint="eastAsia" w:ascii="仿宋_GB2312" w:eastAsia="仿宋_GB2312"/>
          <w:sz w:val="32"/>
          <w:szCs w:val="32"/>
        </w:rPr>
        <w:t>对城域范围内路网、地形、城区建筑、绿化、城市部件等进行L</w:t>
      </w:r>
      <w:r>
        <w:rPr>
          <w:rFonts w:ascii="仿宋_GB2312" w:eastAsia="仿宋_GB2312"/>
          <w:sz w:val="32"/>
          <w:szCs w:val="32"/>
        </w:rPr>
        <w:t>3</w:t>
      </w:r>
      <w:r>
        <w:rPr>
          <w:rFonts w:hint="eastAsia" w:ascii="仿宋_GB2312" w:eastAsia="仿宋_GB2312"/>
          <w:sz w:val="32"/>
          <w:szCs w:val="32"/>
        </w:rPr>
        <w:t>级别建模，完成统办一号楼、创意中心等1</w:t>
      </w:r>
      <w:r>
        <w:rPr>
          <w:rFonts w:ascii="仿宋_GB2312" w:eastAsia="仿宋_GB2312"/>
          <w:sz w:val="32"/>
          <w:szCs w:val="32"/>
        </w:rPr>
        <w:t>4</w:t>
      </w:r>
      <w:r>
        <w:rPr>
          <w:rFonts w:hint="eastAsia" w:ascii="仿宋_GB2312" w:eastAsia="仿宋_GB2312"/>
          <w:sz w:val="32"/>
          <w:szCs w:val="32"/>
        </w:rPr>
        <w:t>处重点地标L4级别的三维精细化建模，开发城市概览、经济运行、综合治理等13大主题页面，配套开发了主题数据填报子系统，对城市运行核心指标</w:t>
      </w:r>
      <w:r>
        <w:rPr>
          <w:rFonts w:hint="eastAsia" w:ascii="仿宋_GB2312" w:hAnsi="仿宋_GB2312" w:eastAsia="仿宋_GB2312" w:cs="仿宋_GB2312"/>
          <w:color w:val="000000" w:themeColor="text1"/>
          <w:sz w:val="32"/>
          <w:szCs w:val="32"/>
          <w14:textFill>
            <w14:solidFill>
              <w14:schemeClr w14:val="tx1"/>
            </w14:solidFill>
          </w14:textFill>
        </w:rPr>
        <w:t>适时更新，同步</w:t>
      </w:r>
      <w:r>
        <w:rPr>
          <w:rFonts w:hint="eastAsia" w:eastAsia="仿宋_GB2312" w:cs="Times New Roman"/>
          <w:sz w:val="32"/>
          <w:szCs w:val="32"/>
        </w:rPr>
        <w:t>对接数字化社会治理平台、城市综合服务管理平台等数据</w:t>
      </w:r>
      <w:r>
        <w:rPr>
          <w:rFonts w:hint="eastAsia" w:ascii="仿宋_GB2312" w:eastAsia="仿宋_GB2312"/>
          <w:sz w:val="32"/>
          <w:szCs w:val="32"/>
        </w:rPr>
        <w:t>。</w:t>
      </w:r>
      <w:r>
        <w:rPr>
          <w:rFonts w:hint="eastAsia" w:ascii="仿宋_GB2312" w:hAnsi="仿宋_GB2312" w:eastAsia="仿宋_GB2312" w:cs="仿宋_GB2312"/>
          <w:sz w:val="32"/>
          <w:szCs w:val="32"/>
        </w:rPr>
        <w:t>（三）部署N个应用。一是数字化社会治理信息平台。主要包括综治9+X、基础数据管理、微信公众号、日常工作管理、交办工作管理、考核评估、宣传模块、系统管理、县域智治中控舱、疫情防控系统、公安居住证管理系统、以奖代补、平安建设考核、一网通管、社会治理门户展示系统等功能模块。二是城市综合管理服务平台。主要包括智慧城管核心系统、移动应用、精细化特色应用、基础支撑软件、基础数据平台、会议室拼接屏、智慧视频监控、城管执法装备等。（四）对接整合相关应用。逐步对接整合智慧停车、智慧路灯等应用的，形成丰富的智慧城市运营体系。（五）配套部署相关软件、通信服务、云服务及网络安全防护等。</w:t>
      </w:r>
    </w:p>
    <w:p w14:paraId="32D148A6">
      <w:pPr>
        <w:spacing w:line="580" w:lineRule="exact"/>
        <w:ind w:firstLine="643"/>
        <w:rPr>
          <w:rFonts w:ascii="楷体_GB2312" w:eastAsia="楷体_GB2312"/>
          <w:b/>
          <w:sz w:val="32"/>
          <w:szCs w:val="32"/>
        </w:rPr>
      </w:pPr>
      <w:r>
        <w:rPr>
          <w:rFonts w:hint="eastAsia" w:ascii="楷体_GB2312" w:eastAsia="楷体_GB2312"/>
          <w:b/>
          <w:sz w:val="32"/>
          <w:szCs w:val="32"/>
        </w:rPr>
        <w:t>（二）项目绩效目标</w:t>
      </w:r>
    </w:p>
    <w:p w14:paraId="45149D57">
      <w:pPr>
        <w:pStyle w:val="185"/>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是全面完成数字城市管理中心装修改建。在文化旅游创意中心三楼装修改建了约600平米的数字城市管理中心，分别设置了指挥大厅、会议会商室、办公室、值班室，配套安装相关硬件设施。二是全面部署两个支撑平台。已完成</w:t>
      </w:r>
      <w:r>
        <w:rPr>
          <w:rFonts w:ascii="仿宋_GB2312" w:hAnsi="仿宋_GB2312" w:eastAsia="仿宋_GB2312" w:cs="仿宋_GB2312"/>
          <w:sz w:val="32"/>
          <w:szCs w:val="32"/>
        </w:rPr>
        <w:t>可</w:t>
      </w:r>
      <w:r>
        <w:rPr>
          <w:rFonts w:hint="eastAsia" w:ascii="仿宋_GB2312" w:hAnsi="仿宋_GB2312" w:eastAsia="仿宋_GB2312" w:cs="仿宋_GB2312"/>
          <w:sz w:val="32"/>
          <w:szCs w:val="32"/>
        </w:rPr>
        <w:t>接入10000路</w:t>
      </w:r>
      <w:r>
        <w:rPr>
          <w:rFonts w:ascii="仿宋_GB2312" w:hAnsi="仿宋_GB2312" w:eastAsia="仿宋_GB2312" w:cs="仿宋_GB2312"/>
          <w:sz w:val="32"/>
          <w:szCs w:val="32"/>
        </w:rPr>
        <w:t>公共视频</w:t>
      </w:r>
      <w:r>
        <w:rPr>
          <w:rFonts w:hint="eastAsia" w:ascii="仿宋_GB2312" w:hAnsi="仿宋_GB2312" w:eastAsia="仿宋_GB2312" w:cs="仿宋_GB2312"/>
          <w:sz w:val="32"/>
          <w:szCs w:val="32"/>
        </w:rPr>
        <w:t>资源的山丹县公共视频资源共享调度平台，整合了综治、公安、城管、安监、教育等重要单位的视频资源。已建成城市数字孪生平台，</w:t>
      </w:r>
      <w:r>
        <w:rPr>
          <w:rFonts w:ascii="仿宋_GB2312" w:hAnsi="等线" w:eastAsia="仿宋_GB2312" w:cs="仿宋_GB2312"/>
          <w:color w:val="000000"/>
          <w:sz w:val="32"/>
          <w:szCs w:val="32"/>
        </w:rPr>
        <w:t>基于数字孪生技术，</w:t>
      </w:r>
      <w:r>
        <w:rPr>
          <w:rFonts w:hint="eastAsia" w:ascii="仿宋_GB2312" w:eastAsia="仿宋_GB2312"/>
          <w:sz w:val="32"/>
          <w:szCs w:val="32"/>
        </w:rPr>
        <w:t>对城域范围内路网、地形、城区建筑、绿化、城市部件等进行L</w:t>
      </w:r>
      <w:r>
        <w:rPr>
          <w:rFonts w:ascii="仿宋_GB2312" w:eastAsia="仿宋_GB2312"/>
          <w:sz w:val="32"/>
          <w:szCs w:val="32"/>
        </w:rPr>
        <w:t>3</w:t>
      </w:r>
      <w:r>
        <w:rPr>
          <w:rFonts w:hint="eastAsia" w:ascii="仿宋_GB2312" w:eastAsia="仿宋_GB2312"/>
          <w:sz w:val="32"/>
          <w:szCs w:val="32"/>
        </w:rPr>
        <w:t>级别建模，完成统办一号楼、创意中心等1</w:t>
      </w:r>
      <w:r>
        <w:rPr>
          <w:rFonts w:ascii="仿宋_GB2312" w:eastAsia="仿宋_GB2312"/>
          <w:sz w:val="32"/>
          <w:szCs w:val="32"/>
        </w:rPr>
        <w:t>4</w:t>
      </w:r>
      <w:r>
        <w:rPr>
          <w:rFonts w:hint="eastAsia" w:ascii="仿宋_GB2312" w:eastAsia="仿宋_GB2312"/>
          <w:sz w:val="32"/>
          <w:szCs w:val="32"/>
        </w:rPr>
        <w:t>处重点地标L4级别的三维精细化建模，开发城市概览、经济运行、综合治理等13大主题页面，配套开发了主题数据填报子系统。</w:t>
      </w:r>
      <w:r>
        <w:rPr>
          <w:rFonts w:hint="eastAsia" w:ascii="仿宋_GB2312" w:hAnsi="仿宋_GB2312" w:eastAsia="仿宋_GB2312" w:cs="仿宋_GB2312"/>
          <w:sz w:val="32"/>
          <w:szCs w:val="32"/>
        </w:rPr>
        <w:t>三是全面部署N个应用。完成数字化社会治理信息平台、城市综合管理服务平台建设。四是对接整合相关应用。逐步对接整合智慧停车、智慧路灯等应用的，形成丰富的智慧城市运营体系。五是完成配套部署相关软件、通信服务、云服务及网络安全防护等。六是完成项目验收。</w:t>
      </w:r>
    </w:p>
    <w:p w14:paraId="28B3257C">
      <w:pPr>
        <w:spacing w:line="580" w:lineRule="exact"/>
        <w:ind w:firstLine="640"/>
        <w:rPr>
          <w:rFonts w:ascii="黑体" w:hAnsi="黑体" w:eastAsia="黑体"/>
          <w:sz w:val="32"/>
          <w:szCs w:val="32"/>
        </w:rPr>
      </w:pPr>
      <w:r>
        <w:rPr>
          <w:rFonts w:hint="eastAsia" w:ascii="黑体" w:hAnsi="黑体" w:eastAsia="黑体"/>
          <w:sz w:val="32"/>
          <w:szCs w:val="32"/>
        </w:rPr>
        <w:t>二、项目资金情况</w:t>
      </w:r>
    </w:p>
    <w:p w14:paraId="549542A1">
      <w:pPr>
        <w:spacing w:line="580" w:lineRule="exact"/>
        <w:ind w:firstLine="640"/>
        <w:rPr>
          <w:rFonts w:ascii="仿宋_GB2312" w:eastAsia="仿宋_GB2312"/>
          <w:sz w:val="32"/>
          <w:szCs w:val="32"/>
        </w:rPr>
      </w:pPr>
      <w:r>
        <w:rPr>
          <w:rFonts w:hint="eastAsia" w:ascii="仿宋_GB2312" w:eastAsia="仿宋_GB2312"/>
          <w:sz w:val="32"/>
          <w:szCs w:val="32"/>
        </w:rPr>
        <w:t>山丹县信息化工作办公室智慧城市建设项目预算资金合计1789.95万元，于2021年12月完成招标，招标价1736.18万元，于2022年1月开工实施，现已完成建设任务的100%。</w:t>
      </w:r>
      <w:r>
        <w:rPr>
          <w:rFonts w:hint="eastAsia" w:ascii="仿宋_GB2312" w:hAnsi="微软雅黑" w:eastAsia="仿宋_GB2312"/>
          <w:color w:val="171A1D"/>
          <w:sz w:val="32"/>
          <w:szCs w:val="32"/>
          <w:shd w:val="clear" w:color="auto" w:fill="FFFFFF"/>
        </w:rPr>
        <w:t>2023年已支付项目建设资金300万元，累计支付项目建设资金800万元，占合同总金额的45%，剩余资金989.95万元。</w:t>
      </w:r>
    </w:p>
    <w:p w14:paraId="067BDF4A">
      <w:pPr>
        <w:spacing w:line="580" w:lineRule="exact"/>
        <w:ind w:firstLine="640"/>
        <w:rPr>
          <w:rFonts w:ascii="黑体" w:hAnsi="黑体" w:eastAsia="黑体"/>
          <w:sz w:val="32"/>
          <w:szCs w:val="32"/>
        </w:rPr>
      </w:pPr>
      <w:r>
        <w:rPr>
          <w:rFonts w:hint="eastAsia" w:ascii="黑体" w:hAnsi="黑体" w:eastAsia="黑体"/>
          <w:sz w:val="32"/>
          <w:szCs w:val="32"/>
        </w:rPr>
        <w:t>三、绩效目标完成情况及效益分析</w:t>
      </w:r>
    </w:p>
    <w:p w14:paraId="327D7B61">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1.产出指标（指标分值50分，得分50分）</w:t>
      </w:r>
    </w:p>
    <w:p w14:paraId="5AEA2A7B">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指标主要从数量、质量、时效、成本四个方面进行分析评价，本项目的建设符合国家相关规定，与国民经济发展和国家决策相关，绩效目标合理，资金到位及时，与绩效目标数量相对应，项目投资额与实际发生相匹配。根据评价要素，本项应得分50分，扣0分，评价得分50分，得分率100%</w:t>
      </w:r>
      <w:r>
        <w:rPr>
          <w:rFonts w:ascii="仿宋_GB2312" w:hAnsi="仿宋_GB2312" w:eastAsia="仿宋_GB2312" w:cs="仿宋_GB2312"/>
          <w:sz w:val="32"/>
          <w:szCs w:val="32"/>
        </w:rPr>
        <w:t>。</w:t>
      </w:r>
    </w:p>
    <w:p w14:paraId="0D428848">
      <w:pPr>
        <w:shd w:val="clear" w:color="auto" w:fill="FFFFFF" w:themeFill="background1"/>
        <w:spacing w:before="156" w:after="156" w:line="580" w:lineRule="exact"/>
        <w:ind w:firstLine="640"/>
        <w:rPr>
          <w:rFonts w:ascii="仿宋" w:hAnsi="仿宋"/>
          <w:sz w:val="32"/>
          <w:szCs w:val="28"/>
        </w:rPr>
      </w:pPr>
      <w:r>
        <w:rPr>
          <w:rFonts w:hint="eastAsia" w:ascii="仿宋" w:hAnsi="仿宋"/>
          <w:sz w:val="32"/>
          <w:szCs w:val="28"/>
        </w:rPr>
        <w:t>表1.产出指标得分情况</w:t>
      </w:r>
    </w:p>
    <w:tbl>
      <w:tblPr>
        <w:tblStyle w:val="30"/>
        <w:tblW w:w="4849" w:type="pct"/>
        <w:jc w:val="center"/>
        <w:tblLayout w:type="autofit"/>
        <w:tblCellMar>
          <w:top w:w="0" w:type="dxa"/>
          <w:left w:w="108" w:type="dxa"/>
          <w:bottom w:w="0" w:type="dxa"/>
          <w:right w:w="108" w:type="dxa"/>
        </w:tblCellMar>
      </w:tblPr>
      <w:tblGrid>
        <w:gridCol w:w="1366"/>
        <w:gridCol w:w="1279"/>
        <w:gridCol w:w="2863"/>
        <w:gridCol w:w="794"/>
        <w:gridCol w:w="787"/>
        <w:gridCol w:w="1181"/>
      </w:tblGrid>
      <w:tr w14:paraId="5B72F366">
        <w:tblPrEx>
          <w:tblCellMar>
            <w:top w:w="0" w:type="dxa"/>
            <w:left w:w="108" w:type="dxa"/>
            <w:bottom w:w="0" w:type="dxa"/>
            <w:right w:w="108" w:type="dxa"/>
          </w:tblCellMar>
        </w:tblPrEx>
        <w:trPr>
          <w:trHeight w:val="454" w:hRule="atLeast"/>
          <w:tblHeader/>
          <w:jc w:val="center"/>
        </w:trPr>
        <w:tc>
          <w:tcPr>
            <w:tcW w:w="826" w:type="pct"/>
            <w:tcBorders>
              <w:top w:val="single" w:color="auto" w:sz="4" w:space="0"/>
              <w:left w:val="single" w:color="auto" w:sz="4" w:space="0"/>
              <w:bottom w:val="single" w:color="auto" w:sz="4" w:space="0"/>
              <w:right w:val="single" w:color="auto" w:sz="4" w:space="0"/>
            </w:tcBorders>
            <w:noWrap w:val="0"/>
            <w:vAlign w:val="center"/>
          </w:tcPr>
          <w:p w14:paraId="0F5B8061">
            <w:pPr>
              <w:shd w:val="clear" w:color="auto" w:fill="FFFFFF" w:themeFill="background1"/>
              <w:spacing w:line="580" w:lineRule="exact"/>
              <w:rPr>
                <w:rFonts w:ascii="仿宋" w:hAnsi="仿宋"/>
                <w:b/>
                <w:bCs/>
                <w:sz w:val="24"/>
              </w:rPr>
            </w:pPr>
            <w:r>
              <w:rPr>
                <w:rFonts w:hint="eastAsia" w:ascii="仿宋" w:hAnsi="仿宋"/>
                <w:b/>
                <w:bCs/>
                <w:sz w:val="24"/>
              </w:rPr>
              <w:t>一级指标</w:t>
            </w:r>
          </w:p>
        </w:tc>
        <w:tc>
          <w:tcPr>
            <w:tcW w:w="773" w:type="pct"/>
            <w:tcBorders>
              <w:top w:val="single" w:color="auto" w:sz="4" w:space="0"/>
              <w:left w:val="nil"/>
              <w:bottom w:val="single" w:color="auto" w:sz="4" w:space="0"/>
              <w:right w:val="single" w:color="auto" w:sz="4" w:space="0"/>
            </w:tcBorders>
            <w:noWrap w:val="0"/>
            <w:vAlign w:val="center"/>
          </w:tcPr>
          <w:p w14:paraId="72D4B11F">
            <w:pPr>
              <w:shd w:val="clear" w:color="auto" w:fill="FFFFFF" w:themeFill="background1"/>
              <w:spacing w:line="580" w:lineRule="exact"/>
              <w:rPr>
                <w:rFonts w:ascii="仿宋" w:hAnsi="仿宋"/>
                <w:b/>
                <w:bCs/>
                <w:sz w:val="24"/>
              </w:rPr>
            </w:pPr>
            <w:r>
              <w:rPr>
                <w:rFonts w:hint="eastAsia" w:ascii="仿宋" w:hAnsi="仿宋"/>
                <w:b/>
                <w:bCs/>
                <w:sz w:val="24"/>
              </w:rPr>
              <w:t>二级指标</w:t>
            </w:r>
          </w:p>
        </w:tc>
        <w:tc>
          <w:tcPr>
            <w:tcW w:w="1731" w:type="pct"/>
            <w:tcBorders>
              <w:top w:val="single" w:color="auto" w:sz="4" w:space="0"/>
              <w:left w:val="nil"/>
              <w:bottom w:val="single" w:color="auto" w:sz="4" w:space="0"/>
              <w:right w:val="single" w:color="auto" w:sz="4" w:space="0"/>
            </w:tcBorders>
            <w:noWrap w:val="0"/>
            <w:vAlign w:val="center"/>
          </w:tcPr>
          <w:p w14:paraId="2FDACD95">
            <w:pPr>
              <w:shd w:val="clear" w:color="auto" w:fill="FFFFFF" w:themeFill="background1"/>
              <w:spacing w:line="580" w:lineRule="exact"/>
              <w:ind w:firstLine="482"/>
              <w:rPr>
                <w:rFonts w:ascii="仿宋" w:hAnsi="仿宋"/>
                <w:b/>
                <w:bCs/>
                <w:sz w:val="24"/>
              </w:rPr>
            </w:pPr>
            <w:r>
              <w:rPr>
                <w:rFonts w:hint="eastAsia" w:ascii="仿宋" w:hAnsi="仿宋"/>
                <w:b/>
                <w:bCs/>
                <w:sz w:val="24"/>
              </w:rPr>
              <w:t>三级指标</w:t>
            </w:r>
          </w:p>
        </w:tc>
        <w:tc>
          <w:tcPr>
            <w:tcW w:w="480" w:type="pct"/>
            <w:tcBorders>
              <w:top w:val="single" w:color="auto" w:sz="4" w:space="0"/>
              <w:left w:val="nil"/>
              <w:bottom w:val="single" w:color="auto" w:sz="4" w:space="0"/>
              <w:right w:val="single" w:color="auto" w:sz="4" w:space="0"/>
            </w:tcBorders>
            <w:noWrap w:val="0"/>
            <w:vAlign w:val="center"/>
          </w:tcPr>
          <w:p w14:paraId="2C858784">
            <w:pPr>
              <w:shd w:val="clear" w:color="auto" w:fill="FFFFFF" w:themeFill="background1"/>
              <w:spacing w:line="580" w:lineRule="exact"/>
              <w:rPr>
                <w:rFonts w:ascii="仿宋" w:hAnsi="仿宋"/>
                <w:b/>
                <w:bCs/>
                <w:sz w:val="24"/>
              </w:rPr>
            </w:pPr>
            <w:r>
              <w:rPr>
                <w:rFonts w:hint="eastAsia" w:ascii="仿宋" w:hAnsi="仿宋"/>
                <w:b/>
                <w:bCs/>
                <w:sz w:val="24"/>
              </w:rPr>
              <w:t>分值</w:t>
            </w:r>
          </w:p>
        </w:tc>
        <w:tc>
          <w:tcPr>
            <w:tcW w:w="476" w:type="pct"/>
            <w:tcBorders>
              <w:top w:val="single" w:color="auto" w:sz="4" w:space="0"/>
              <w:left w:val="nil"/>
              <w:bottom w:val="single" w:color="auto" w:sz="4" w:space="0"/>
              <w:right w:val="single" w:color="auto" w:sz="4" w:space="0"/>
            </w:tcBorders>
            <w:noWrap w:val="0"/>
            <w:vAlign w:val="center"/>
          </w:tcPr>
          <w:p w14:paraId="16742CD7">
            <w:pPr>
              <w:shd w:val="clear" w:color="auto" w:fill="FFFFFF" w:themeFill="background1"/>
              <w:spacing w:line="580" w:lineRule="exact"/>
              <w:rPr>
                <w:rFonts w:ascii="仿宋" w:hAnsi="仿宋"/>
                <w:b/>
                <w:bCs/>
                <w:sz w:val="24"/>
              </w:rPr>
            </w:pPr>
            <w:r>
              <w:rPr>
                <w:rFonts w:hint="eastAsia" w:ascii="仿宋" w:hAnsi="仿宋"/>
                <w:b/>
                <w:bCs/>
                <w:sz w:val="24"/>
              </w:rPr>
              <w:t>得分</w:t>
            </w:r>
          </w:p>
        </w:tc>
        <w:tc>
          <w:tcPr>
            <w:tcW w:w="714" w:type="pct"/>
            <w:tcBorders>
              <w:top w:val="single" w:color="auto" w:sz="4" w:space="0"/>
              <w:left w:val="nil"/>
              <w:bottom w:val="single" w:color="auto" w:sz="4" w:space="0"/>
              <w:right w:val="single" w:color="auto" w:sz="4" w:space="0"/>
            </w:tcBorders>
            <w:noWrap w:val="0"/>
            <w:vAlign w:val="center"/>
          </w:tcPr>
          <w:p w14:paraId="51CB5211">
            <w:pPr>
              <w:shd w:val="clear" w:color="auto" w:fill="FFFFFF" w:themeFill="background1"/>
              <w:spacing w:line="580" w:lineRule="exact"/>
              <w:rPr>
                <w:rFonts w:ascii="仿宋" w:hAnsi="仿宋"/>
                <w:b/>
                <w:bCs/>
                <w:sz w:val="24"/>
              </w:rPr>
            </w:pPr>
            <w:r>
              <w:rPr>
                <w:rFonts w:hint="eastAsia" w:ascii="仿宋" w:hAnsi="仿宋"/>
                <w:b/>
                <w:bCs/>
                <w:sz w:val="24"/>
              </w:rPr>
              <w:t>得分率</w:t>
            </w:r>
          </w:p>
        </w:tc>
      </w:tr>
      <w:tr w14:paraId="562B2CAC">
        <w:tblPrEx>
          <w:tblCellMar>
            <w:top w:w="0" w:type="dxa"/>
            <w:left w:w="108" w:type="dxa"/>
            <w:bottom w:w="0" w:type="dxa"/>
            <w:right w:w="108" w:type="dxa"/>
          </w:tblCellMar>
        </w:tblPrEx>
        <w:trPr>
          <w:trHeight w:val="454" w:hRule="atLeast"/>
          <w:jc w:val="center"/>
        </w:trPr>
        <w:tc>
          <w:tcPr>
            <w:tcW w:w="826" w:type="pct"/>
            <w:vMerge w:val="restart"/>
            <w:tcBorders>
              <w:top w:val="nil"/>
              <w:left w:val="single" w:color="auto" w:sz="4" w:space="0"/>
              <w:right w:val="single" w:color="auto" w:sz="4" w:space="0"/>
            </w:tcBorders>
            <w:noWrap w:val="0"/>
            <w:vAlign w:val="center"/>
          </w:tcPr>
          <w:p w14:paraId="375D6DCC">
            <w:pPr>
              <w:pStyle w:val="186"/>
              <w:spacing w:line="580" w:lineRule="exact"/>
            </w:pPr>
          </w:p>
          <w:p w14:paraId="167F4470">
            <w:pPr>
              <w:pStyle w:val="187"/>
              <w:spacing w:line="580" w:lineRule="exact"/>
            </w:pPr>
          </w:p>
          <w:p w14:paraId="1FF3E99A">
            <w:pPr>
              <w:spacing w:line="580" w:lineRule="exact"/>
            </w:pPr>
          </w:p>
          <w:p w14:paraId="7DAA1D20">
            <w:pPr>
              <w:pStyle w:val="186"/>
              <w:spacing w:line="580" w:lineRule="exact"/>
            </w:pPr>
          </w:p>
          <w:p w14:paraId="2F1D2196">
            <w:pPr>
              <w:pStyle w:val="187"/>
              <w:spacing w:line="580" w:lineRule="exact"/>
            </w:pPr>
          </w:p>
          <w:p w14:paraId="4169F4D5">
            <w:pPr>
              <w:shd w:val="clear" w:color="auto" w:fill="FFFFFF" w:themeFill="background1"/>
              <w:spacing w:line="580" w:lineRule="exact"/>
              <w:rPr>
                <w:rFonts w:ascii="仿宋" w:hAnsi="仿宋"/>
                <w:sz w:val="24"/>
              </w:rPr>
            </w:pPr>
            <w:r>
              <w:rPr>
                <w:rFonts w:hint="eastAsia" w:ascii="仿宋" w:hAnsi="仿宋"/>
                <w:sz w:val="24"/>
              </w:rPr>
              <w:t>产出（50）</w:t>
            </w:r>
          </w:p>
          <w:p w14:paraId="4CEAE52B">
            <w:pPr>
              <w:spacing w:line="580" w:lineRule="exact"/>
            </w:pPr>
          </w:p>
          <w:p w14:paraId="6A2F37A3">
            <w:pPr>
              <w:pStyle w:val="186"/>
              <w:spacing w:line="580" w:lineRule="exact"/>
            </w:pPr>
          </w:p>
          <w:p w14:paraId="5B9BFE8F">
            <w:pPr>
              <w:pStyle w:val="187"/>
              <w:spacing w:line="580" w:lineRule="exact"/>
            </w:pPr>
          </w:p>
          <w:p w14:paraId="5F3D49E2">
            <w:pPr>
              <w:spacing w:line="580" w:lineRule="exact"/>
            </w:pPr>
          </w:p>
          <w:p w14:paraId="1567BBC0">
            <w:pPr>
              <w:pStyle w:val="186"/>
              <w:spacing w:line="580" w:lineRule="exact"/>
            </w:pPr>
          </w:p>
          <w:p w14:paraId="4C3279C2">
            <w:pPr>
              <w:pStyle w:val="187"/>
              <w:spacing w:line="580" w:lineRule="exact"/>
            </w:pPr>
          </w:p>
        </w:tc>
        <w:tc>
          <w:tcPr>
            <w:tcW w:w="773" w:type="pct"/>
            <w:vMerge w:val="restart"/>
            <w:tcBorders>
              <w:top w:val="nil"/>
              <w:left w:val="single" w:color="auto" w:sz="4" w:space="0"/>
              <w:right w:val="single" w:color="auto" w:sz="4" w:space="0"/>
            </w:tcBorders>
            <w:noWrap w:val="0"/>
            <w:vAlign w:val="center"/>
          </w:tcPr>
          <w:p w14:paraId="1788739F">
            <w:pPr>
              <w:shd w:val="clear" w:color="auto" w:fill="FFFFFF" w:themeFill="background1"/>
              <w:spacing w:line="580" w:lineRule="exact"/>
              <w:rPr>
                <w:rFonts w:ascii="仿宋" w:hAnsi="仿宋"/>
                <w:sz w:val="24"/>
              </w:rPr>
            </w:pPr>
            <w:r>
              <w:rPr>
                <w:rFonts w:hint="eastAsia" w:ascii="仿宋" w:hAnsi="仿宋"/>
                <w:sz w:val="24"/>
              </w:rPr>
              <w:t>数量指标（12）</w:t>
            </w:r>
          </w:p>
        </w:tc>
        <w:tc>
          <w:tcPr>
            <w:tcW w:w="1731" w:type="pct"/>
            <w:tcBorders>
              <w:top w:val="nil"/>
              <w:left w:val="nil"/>
              <w:bottom w:val="single" w:color="auto" w:sz="4" w:space="0"/>
              <w:right w:val="single" w:color="auto" w:sz="4" w:space="0"/>
            </w:tcBorders>
            <w:noWrap w:val="0"/>
            <w:vAlign w:val="center"/>
          </w:tcPr>
          <w:p w14:paraId="3CDCFDDA">
            <w:pPr>
              <w:shd w:val="clear" w:color="auto" w:fill="FFFFFF" w:themeFill="background1"/>
              <w:spacing w:line="580" w:lineRule="exact"/>
              <w:rPr>
                <w:rFonts w:ascii="仿宋" w:hAnsi="仿宋"/>
                <w:sz w:val="24"/>
              </w:rPr>
            </w:pPr>
            <w:r>
              <w:rPr>
                <w:rFonts w:hint="eastAsia" w:ascii="仿宋" w:hAnsi="仿宋"/>
                <w:sz w:val="24"/>
              </w:rPr>
              <w:t>1个中心</w:t>
            </w:r>
          </w:p>
        </w:tc>
        <w:tc>
          <w:tcPr>
            <w:tcW w:w="480" w:type="pct"/>
            <w:tcBorders>
              <w:top w:val="nil"/>
              <w:left w:val="nil"/>
              <w:bottom w:val="single" w:color="auto" w:sz="4" w:space="0"/>
              <w:right w:val="single" w:color="auto" w:sz="4" w:space="0"/>
            </w:tcBorders>
            <w:noWrap w:val="0"/>
            <w:vAlign w:val="center"/>
          </w:tcPr>
          <w:p w14:paraId="6E1647E8">
            <w:pPr>
              <w:shd w:val="clear" w:color="auto" w:fill="FFFFFF" w:themeFill="background1"/>
              <w:spacing w:line="580" w:lineRule="exact"/>
              <w:rPr>
                <w:rFonts w:ascii="Arial Narrow" w:hAnsi="Arial Narrow" w:cs="Arial"/>
                <w:sz w:val="24"/>
              </w:rPr>
            </w:pPr>
            <w:r>
              <w:rPr>
                <w:rFonts w:hint="eastAsia" w:ascii="Arial Narrow" w:hAnsi="Arial Narrow" w:cs="Arial"/>
                <w:sz w:val="24"/>
              </w:rPr>
              <w:t>2</w:t>
            </w:r>
          </w:p>
        </w:tc>
        <w:tc>
          <w:tcPr>
            <w:tcW w:w="476" w:type="pct"/>
            <w:tcBorders>
              <w:top w:val="nil"/>
              <w:left w:val="nil"/>
              <w:bottom w:val="single" w:color="auto" w:sz="4" w:space="0"/>
              <w:right w:val="single" w:color="auto" w:sz="4" w:space="0"/>
            </w:tcBorders>
            <w:noWrap/>
            <w:vAlign w:val="center"/>
          </w:tcPr>
          <w:p w14:paraId="61BD1F37">
            <w:pPr>
              <w:shd w:val="clear" w:color="auto" w:fill="FFFFFF" w:themeFill="background1"/>
              <w:spacing w:line="580" w:lineRule="exact"/>
              <w:rPr>
                <w:rFonts w:ascii="Arial Narrow" w:hAnsi="Arial Narrow" w:cs="Arial"/>
                <w:sz w:val="24"/>
              </w:rPr>
            </w:pPr>
            <w:r>
              <w:rPr>
                <w:rFonts w:hint="eastAsia" w:ascii="Arial Narrow" w:hAnsi="Arial Narrow" w:cs="Arial"/>
                <w:sz w:val="24"/>
              </w:rPr>
              <w:t>2</w:t>
            </w:r>
          </w:p>
        </w:tc>
        <w:tc>
          <w:tcPr>
            <w:tcW w:w="714" w:type="pct"/>
            <w:tcBorders>
              <w:top w:val="nil"/>
              <w:left w:val="nil"/>
              <w:bottom w:val="single" w:color="auto" w:sz="4" w:space="0"/>
              <w:right w:val="single" w:color="auto" w:sz="4" w:space="0"/>
            </w:tcBorders>
            <w:noWrap/>
            <w:vAlign w:val="center"/>
          </w:tcPr>
          <w:p w14:paraId="03461F66">
            <w:pPr>
              <w:shd w:val="clear" w:color="auto" w:fill="FFFFFF" w:themeFill="background1"/>
              <w:spacing w:line="580" w:lineRule="exact"/>
              <w:rPr>
                <w:rFonts w:ascii="Arial Narrow" w:hAnsi="Arial Narrow" w:cs="Arial"/>
                <w:sz w:val="24"/>
              </w:rPr>
            </w:pPr>
            <w:r>
              <w:rPr>
                <w:rFonts w:hint="eastAsia" w:ascii="Arial Narrow" w:hAnsi="Arial Narrow" w:cs="Arial"/>
                <w:sz w:val="24"/>
              </w:rPr>
              <w:t>100</w:t>
            </w:r>
            <w:r>
              <w:rPr>
                <w:rFonts w:ascii="Arial Narrow" w:hAnsi="Arial Narrow" w:cs="Arial"/>
                <w:sz w:val="24"/>
              </w:rPr>
              <w:t>%</w:t>
            </w:r>
          </w:p>
        </w:tc>
      </w:tr>
      <w:tr w14:paraId="378E3C73">
        <w:tblPrEx>
          <w:tblCellMar>
            <w:top w:w="0" w:type="dxa"/>
            <w:left w:w="108" w:type="dxa"/>
            <w:bottom w:w="0" w:type="dxa"/>
            <w:right w:w="108" w:type="dxa"/>
          </w:tblCellMar>
        </w:tblPrEx>
        <w:trPr>
          <w:trHeight w:val="454" w:hRule="atLeast"/>
          <w:jc w:val="center"/>
        </w:trPr>
        <w:tc>
          <w:tcPr>
            <w:tcW w:w="826" w:type="pct"/>
            <w:vMerge w:val="continue"/>
            <w:tcBorders>
              <w:left w:val="single" w:color="auto" w:sz="4" w:space="0"/>
              <w:right w:val="single" w:color="auto" w:sz="4" w:space="0"/>
            </w:tcBorders>
            <w:noWrap w:val="0"/>
            <w:vAlign w:val="center"/>
          </w:tcPr>
          <w:p w14:paraId="2CD5F3FD">
            <w:pPr>
              <w:shd w:val="clear" w:color="auto" w:fill="FFFFFF" w:themeFill="background1"/>
              <w:spacing w:line="580" w:lineRule="exact"/>
              <w:ind w:firstLine="480"/>
              <w:rPr>
                <w:rFonts w:ascii="仿宋" w:hAnsi="仿宋"/>
                <w:sz w:val="24"/>
              </w:rPr>
            </w:pPr>
          </w:p>
        </w:tc>
        <w:tc>
          <w:tcPr>
            <w:tcW w:w="773" w:type="pct"/>
            <w:vMerge w:val="continue"/>
            <w:tcBorders>
              <w:left w:val="single" w:color="auto" w:sz="4" w:space="0"/>
              <w:right w:val="single" w:color="auto" w:sz="4" w:space="0"/>
            </w:tcBorders>
            <w:noWrap w:val="0"/>
            <w:vAlign w:val="center"/>
          </w:tcPr>
          <w:p w14:paraId="253264F1">
            <w:pPr>
              <w:shd w:val="clear" w:color="auto" w:fill="FFFFFF" w:themeFill="background1"/>
              <w:spacing w:line="580" w:lineRule="exact"/>
              <w:ind w:firstLine="480"/>
              <w:rPr>
                <w:rFonts w:ascii="仿宋" w:hAnsi="仿宋"/>
                <w:sz w:val="24"/>
              </w:rPr>
            </w:pPr>
          </w:p>
        </w:tc>
        <w:tc>
          <w:tcPr>
            <w:tcW w:w="1731" w:type="pct"/>
            <w:tcBorders>
              <w:top w:val="nil"/>
              <w:left w:val="nil"/>
              <w:bottom w:val="single" w:color="auto" w:sz="4" w:space="0"/>
              <w:right w:val="single" w:color="auto" w:sz="4" w:space="0"/>
            </w:tcBorders>
            <w:noWrap w:val="0"/>
            <w:vAlign w:val="center"/>
          </w:tcPr>
          <w:p w14:paraId="28D01D77">
            <w:pPr>
              <w:shd w:val="clear" w:color="auto" w:fill="FFFFFF" w:themeFill="background1"/>
              <w:spacing w:line="580" w:lineRule="exact"/>
              <w:rPr>
                <w:rFonts w:ascii="仿宋" w:hAnsi="仿宋"/>
                <w:sz w:val="24"/>
              </w:rPr>
            </w:pPr>
            <w:r>
              <w:rPr>
                <w:rFonts w:hint="eastAsia" w:ascii="仿宋" w:hAnsi="仿宋"/>
                <w:sz w:val="24"/>
              </w:rPr>
              <w:t>2个平台</w:t>
            </w:r>
          </w:p>
        </w:tc>
        <w:tc>
          <w:tcPr>
            <w:tcW w:w="480" w:type="pct"/>
            <w:tcBorders>
              <w:top w:val="nil"/>
              <w:left w:val="nil"/>
              <w:bottom w:val="single" w:color="auto" w:sz="4" w:space="0"/>
              <w:right w:val="single" w:color="auto" w:sz="4" w:space="0"/>
            </w:tcBorders>
            <w:noWrap w:val="0"/>
            <w:vAlign w:val="center"/>
          </w:tcPr>
          <w:p w14:paraId="6E1F295C">
            <w:pPr>
              <w:shd w:val="clear" w:color="auto" w:fill="FFFFFF" w:themeFill="background1"/>
              <w:spacing w:line="580" w:lineRule="exact"/>
              <w:rPr>
                <w:rFonts w:ascii="Arial Narrow" w:hAnsi="Arial Narrow" w:cs="Arial"/>
                <w:sz w:val="24"/>
              </w:rPr>
            </w:pPr>
            <w:r>
              <w:rPr>
                <w:rFonts w:hint="eastAsia" w:ascii="Arial Narrow" w:hAnsi="Arial Narrow" w:cs="Arial"/>
                <w:sz w:val="24"/>
              </w:rPr>
              <w:t>2</w:t>
            </w:r>
          </w:p>
        </w:tc>
        <w:tc>
          <w:tcPr>
            <w:tcW w:w="476" w:type="pct"/>
            <w:tcBorders>
              <w:top w:val="nil"/>
              <w:left w:val="nil"/>
              <w:bottom w:val="single" w:color="auto" w:sz="4" w:space="0"/>
              <w:right w:val="single" w:color="auto" w:sz="4" w:space="0"/>
            </w:tcBorders>
            <w:noWrap/>
            <w:vAlign w:val="center"/>
          </w:tcPr>
          <w:p w14:paraId="3BD69AE6">
            <w:pPr>
              <w:shd w:val="clear" w:color="auto" w:fill="FFFFFF" w:themeFill="background1"/>
              <w:spacing w:line="580" w:lineRule="exact"/>
              <w:rPr>
                <w:rFonts w:ascii="Arial Narrow" w:hAnsi="Arial Narrow" w:cs="Arial"/>
                <w:sz w:val="24"/>
              </w:rPr>
            </w:pPr>
            <w:r>
              <w:rPr>
                <w:rFonts w:hint="eastAsia" w:ascii="Arial Narrow" w:hAnsi="Arial Narrow" w:cs="Arial"/>
                <w:sz w:val="24"/>
              </w:rPr>
              <w:t>2</w:t>
            </w:r>
          </w:p>
        </w:tc>
        <w:tc>
          <w:tcPr>
            <w:tcW w:w="714" w:type="pct"/>
            <w:tcBorders>
              <w:top w:val="nil"/>
              <w:left w:val="nil"/>
              <w:bottom w:val="single" w:color="auto" w:sz="4" w:space="0"/>
              <w:right w:val="single" w:color="auto" w:sz="4" w:space="0"/>
            </w:tcBorders>
            <w:noWrap/>
            <w:vAlign w:val="center"/>
          </w:tcPr>
          <w:p w14:paraId="4ADA64C0">
            <w:pPr>
              <w:shd w:val="clear" w:color="auto" w:fill="FFFFFF" w:themeFill="background1"/>
              <w:spacing w:line="580" w:lineRule="exact"/>
              <w:rPr>
                <w:rFonts w:ascii="Arial Narrow" w:hAnsi="Arial Narrow" w:cs="Arial"/>
                <w:sz w:val="24"/>
              </w:rPr>
            </w:pPr>
            <w:r>
              <w:rPr>
                <w:rFonts w:ascii="Arial Narrow" w:hAnsi="Arial Narrow" w:cs="Arial"/>
                <w:sz w:val="24"/>
              </w:rPr>
              <w:t>100%</w:t>
            </w:r>
          </w:p>
        </w:tc>
      </w:tr>
      <w:tr w14:paraId="0F2B65F8">
        <w:tblPrEx>
          <w:tblCellMar>
            <w:top w:w="0" w:type="dxa"/>
            <w:left w:w="108" w:type="dxa"/>
            <w:bottom w:w="0" w:type="dxa"/>
            <w:right w:w="108" w:type="dxa"/>
          </w:tblCellMar>
        </w:tblPrEx>
        <w:trPr>
          <w:trHeight w:val="454" w:hRule="atLeast"/>
          <w:jc w:val="center"/>
        </w:trPr>
        <w:tc>
          <w:tcPr>
            <w:tcW w:w="826" w:type="pct"/>
            <w:vMerge w:val="continue"/>
            <w:tcBorders>
              <w:left w:val="single" w:color="auto" w:sz="4" w:space="0"/>
              <w:right w:val="single" w:color="auto" w:sz="4" w:space="0"/>
            </w:tcBorders>
            <w:noWrap w:val="0"/>
            <w:vAlign w:val="center"/>
          </w:tcPr>
          <w:p w14:paraId="2535D5EC">
            <w:pPr>
              <w:shd w:val="clear" w:color="auto" w:fill="FFFFFF" w:themeFill="background1"/>
              <w:spacing w:line="580" w:lineRule="exact"/>
              <w:ind w:firstLine="480"/>
              <w:rPr>
                <w:rFonts w:ascii="仿宋" w:hAnsi="仿宋"/>
                <w:sz w:val="24"/>
              </w:rPr>
            </w:pPr>
          </w:p>
        </w:tc>
        <w:tc>
          <w:tcPr>
            <w:tcW w:w="773" w:type="pct"/>
            <w:vMerge w:val="continue"/>
            <w:tcBorders>
              <w:left w:val="single" w:color="auto" w:sz="4" w:space="0"/>
              <w:right w:val="single" w:color="auto" w:sz="4" w:space="0"/>
            </w:tcBorders>
            <w:noWrap w:val="0"/>
            <w:vAlign w:val="center"/>
          </w:tcPr>
          <w:p w14:paraId="68261F63">
            <w:pPr>
              <w:shd w:val="clear" w:color="auto" w:fill="FFFFFF" w:themeFill="background1"/>
              <w:spacing w:line="580" w:lineRule="exact"/>
              <w:ind w:firstLine="480"/>
              <w:rPr>
                <w:rFonts w:ascii="仿宋" w:hAnsi="仿宋"/>
                <w:sz w:val="24"/>
              </w:rPr>
            </w:pPr>
          </w:p>
        </w:tc>
        <w:tc>
          <w:tcPr>
            <w:tcW w:w="1731" w:type="pct"/>
            <w:tcBorders>
              <w:top w:val="nil"/>
              <w:left w:val="nil"/>
              <w:bottom w:val="single" w:color="auto" w:sz="4" w:space="0"/>
              <w:right w:val="single" w:color="auto" w:sz="4" w:space="0"/>
            </w:tcBorders>
            <w:noWrap w:val="0"/>
            <w:vAlign w:val="center"/>
          </w:tcPr>
          <w:p w14:paraId="6794E631">
            <w:pPr>
              <w:shd w:val="clear" w:color="auto" w:fill="FFFFFF" w:themeFill="background1"/>
              <w:spacing w:line="580" w:lineRule="exact"/>
              <w:rPr>
                <w:rFonts w:ascii="仿宋" w:hAnsi="仿宋"/>
                <w:sz w:val="24"/>
              </w:rPr>
            </w:pPr>
            <w:r>
              <w:rPr>
                <w:rFonts w:hint="eastAsia" w:ascii="仿宋" w:hAnsi="仿宋"/>
                <w:sz w:val="24"/>
              </w:rPr>
              <w:t>3项应用系统</w:t>
            </w:r>
          </w:p>
        </w:tc>
        <w:tc>
          <w:tcPr>
            <w:tcW w:w="480" w:type="pct"/>
            <w:tcBorders>
              <w:top w:val="nil"/>
              <w:left w:val="nil"/>
              <w:bottom w:val="single" w:color="auto" w:sz="4" w:space="0"/>
              <w:right w:val="single" w:color="auto" w:sz="4" w:space="0"/>
            </w:tcBorders>
            <w:noWrap w:val="0"/>
            <w:vAlign w:val="center"/>
          </w:tcPr>
          <w:p w14:paraId="216B65C2">
            <w:pPr>
              <w:shd w:val="clear" w:color="auto" w:fill="FFFFFF" w:themeFill="background1"/>
              <w:spacing w:line="580" w:lineRule="exact"/>
              <w:rPr>
                <w:rFonts w:ascii="Arial Narrow" w:hAnsi="Arial Narrow" w:cs="Arial"/>
                <w:sz w:val="24"/>
              </w:rPr>
            </w:pPr>
            <w:r>
              <w:rPr>
                <w:rFonts w:hint="eastAsia" w:ascii="Arial Narrow" w:hAnsi="Arial Narrow" w:cs="Arial"/>
                <w:sz w:val="24"/>
              </w:rPr>
              <w:t>2</w:t>
            </w:r>
          </w:p>
        </w:tc>
        <w:tc>
          <w:tcPr>
            <w:tcW w:w="476" w:type="pct"/>
            <w:tcBorders>
              <w:top w:val="nil"/>
              <w:left w:val="nil"/>
              <w:bottom w:val="single" w:color="auto" w:sz="4" w:space="0"/>
              <w:right w:val="single" w:color="auto" w:sz="4" w:space="0"/>
            </w:tcBorders>
            <w:noWrap/>
            <w:vAlign w:val="center"/>
          </w:tcPr>
          <w:p w14:paraId="6DF4AE4D">
            <w:pPr>
              <w:shd w:val="clear" w:color="auto" w:fill="FFFFFF" w:themeFill="background1"/>
              <w:spacing w:line="580" w:lineRule="exact"/>
              <w:rPr>
                <w:rFonts w:ascii="Arial Narrow" w:hAnsi="Arial Narrow" w:cs="Arial"/>
                <w:sz w:val="24"/>
              </w:rPr>
            </w:pPr>
            <w:r>
              <w:rPr>
                <w:rFonts w:hint="eastAsia" w:ascii="Arial Narrow" w:hAnsi="Arial Narrow" w:cs="Arial"/>
                <w:sz w:val="24"/>
              </w:rPr>
              <w:t>2</w:t>
            </w:r>
          </w:p>
        </w:tc>
        <w:tc>
          <w:tcPr>
            <w:tcW w:w="714" w:type="pct"/>
            <w:tcBorders>
              <w:top w:val="nil"/>
              <w:left w:val="nil"/>
              <w:bottom w:val="single" w:color="auto" w:sz="4" w:space="0"/>
              <w:right w:val="single" w:color="auto" w:sz="4" w:space="0"/>
            </w:tcBorders>
            <w:noWrap/>
            <w:vAlign w:val="center"/>
          </w:tcPr>
          <w:p w14:paraId="4630E4C2">
            <w:pPr>
              <w:shd w:val="clear" w:color="auto" w:fill="FFFFFF" w:themeFill="background1"/>
              <w:spacing w:line="580" w:lineRule="exact"/>
              <w:rPr>
                <w:rFonts w:ascii="Arial Narrow" w:hAnsi="Arial Narrow" w:cs="Arial"/>
                <w:sz w:val="24"/>
              </w:rPr>
            </w:pPr>
            <w:r>
              <w:rPr>
                <w:rFonts w:hint="eastAsia" w:ascii="Arial Narrow" w:hAnsi="Arial Narrow" w:cs="Arial"/>
                <w:sz w:val="24"/>
              </w:rPr>
              <w:t>100</w:t>
            </w:r>
            <w:r>
              <w:rPr>
                <w:rFonts w:ascii="Arial Narrow" w:hAnsi="Arial Narrow" w:cs="Arial"/>
                <w:sz w:val="24"/>
              </w:rPr>
              <w:t>%</w:t>
            </w:r>
          </w:p>
        </w:tc>
      </w:tr>
      <w:tr w14:paraId="5728EFFB">
        <w:tblPrEx>
          <w:tblCellMar>
            <w:top w:w="0" w:type="dxa"/>
            <w:left w:w="108" w:type="dxa"/>
            <w:bottom w:w="0" w:type="dxa"/>
            <w:right w:w="108" w:type="dxa"/>
          </w:tblCellMar>
        </w:tblPrEx>
        <w:trPr>
          <w:trHeight w:val="454" w:hRule="atLeast"/>
          <w:jc w:val="center"/>
        </w:trPr>
        <w:tc>
          <w:tcPr>
            <w:tcW w:w="826" w:type="pct"/>
            <w:vMerge w:val="continue"/>
            <w:tcBorders>
              <w:left w:val="single" w:color="auto" w:sz="4" w:space="0"/>
              <w:right w:val="single" w:color="auto" w:sz="4" w:space="0"/>
            </w:tcBorders>
            <w:noWrap w:val="0"/>
            <w:vAlign w:val="center"/>
          </w:tcPr>
          <w:p w14:paraId="1ABC9629">
            <w:pPr>
              <w:shd w:val="clear" w:color="auto" w:fill="FFFFFF" w:themeFill="background1"/>
              <w:spacing w:line="580" w:lineRule="exact"/>
              <w:ind w:firstLine="480"/>
              <w:rPr>
                <w:rFonts w:ascii="仿宋" w:hAnsi="仿宋"/>
                <w:sz w:val="24"/>
              </w:rPr>
            </w:pPr>
          </w:p>
        </w:tc>
        <w:tc>
          <w:tcPr>
            <w:tcW w:w="773" w:type="pct"/>
            <w:vMerge w:val="continue"/>
            <w:tcBorders>
              <w:left w:val="single" w:color="auto" w:sz="4" w:space="0"/>
              <w:bottom w:val="single" w:color="auto" w:sz="4" w:space="0"/>
              <w:right w:val="single" w:color="auto" w:sz="4" w:space="0"/>
            </w:tcBorders>
            <w:noWrap w:val="0"/>
            <w:vAlign w:val="center"/>
          </w:tcPr>
          <w:p w14:paraId="62CF597D">
            <w:pPr>
              <w:shd w:val="clear" w:color="auto" w:fill="FFFFFF" w:themeFill="background1"/>
              <w:spacing w:line="580" w:lineRule="exact"/>
              <w:rPr>
                <w:rFonts w:ascii="仿宋" w:hAnsi="仿宋"/>
                <w:sz w:val="24"/>
              </w:rPr>
            </w:pPr>
          </w:p>
        </w:tc>
        <w:tc>
          <w:tcPr>
            <w:tcW w:w="1731" w:type="pct"/>
            <w:tcBorders>
              <w:top w:val="nil"/>
              <w:left w:val="nil"/>
              <w:bottom w:val="single" w:color="auto" w:sz="4" w:space="0"/>
              <w:right w:val="single" w:color="auto" w:sz="4" w:space="0"/>
            </w:tcBorders>
            <w:noWrap w:val="0"/>
            <w:vAlign w:val="center"/>
          </w:tcPr>
          <w:p w14:paraId="2118633F">
            <w:pPr>
              <w:shd w:val="clear" w:color="auto" w:fill="FFFFFF" w:themeFill="background1"/>
              <w:spacing w:line="580" w:lineRule="exact"/>
              <w:rPr>
                <w:rFonts w:ascii="仿宋" w:hAnsi="仿宋"/>
                <w:sz w:val="24"/>
              </w:rPr>
            </w:pPr>
            <w:r>
              <w:rPr>
                <w:rFonts w:hint="eastAsia" w:ascii="仿宋" w:hAnsi="仿宋"/>
                <w:sz w:val="24"/>
              </w:rPr>
              <w:t>N项智慧应用整合</w:t>
            </w:r>
          </w:p>
        </w:tc>
        <w:tc>
          <w:tcPr>
            <w:tcW w:w="480" w:type="pct"/>
            <w:tcBorders>
              <w:top w:val="nil"/>
              <w:left w:val="nil"/>
              <w:bottom w:val="single" w:color="auto" w:sz="4" w:space="0"/>
              <w:right w:val="single" w:color="auto" w:sz="4" w:space="0"/>
            </w:tcBorders>
            <w:noWrap w:val="0"/>
            <w:vAlign w:val="center"/>
          </w:tcPr>
          <w:p w14:paraId="768985C6">
            <w:pPr>
              <w:shd w:val="clear" w:color="auto" w:fill="FFFFFF" w:themeFill="background1"/>
              <w:spacing w:line="580" w:lineRule="exact"/>
              <w:rPr>
                <w:rFonts w:ascii="Arial Narrow" w:hAnsi="Arial Narrow" w:cs="Arial"/>
                <w:sz w:val="24"/>
              </w:rPr>
            </w:pPr>
            <w:r>
              <w:rPr>
                <w:rFonts w:hint="eastAsia" w:ascii="Arial Narrow" w:hAnsi="Arial Narrow" w:cs="Arial"/>
                <w:sz w:val="24"/>
              </w:rPr>
              <w:t>2</w:t>
            </w:r>
          </w:p>
        </w:tc>
        <w:tc>
          <w:tcPr>
            <w:tcW w:w="476" w:type="pct"/>
            <w:tcBorders>
              <w:top w:val="nil"/>
              <w:left w:val="nil"/>
              <w:bottom w:val="single" w:color="auto" w:sz="4" w:space="0"/>
              <w:right w:val="single" w:color="auto" w:sz="4" w:space="0"/>
            </w:tcBorders>
            <w:noWrap/>
            <w:vAlign w:val="center"/>
          </w:tcPr>
          <w:p w14:paraId="53DC4E0E">
            <w:pPr>
              <w:shd w:val="clear" w:color="auto" w:fill="FFFFFF" w:themeFill="background1"/>
              <w:spacing w:line="580" w:lineRule="exact"/>
              <w:rPr>
                <w:rFonts w:ascii="Arial Narrow" w:hAnsi="Arial Narrow" w:cs="Arial"/>
                <w:sz w:val="24"/>
              </w:rPr>
            </w:pPr>
            <w:r>
              <w:rPr>
                <w:rFonts w:hint="eastAsia" w:ascii="Arial Narrow" w:hAnsi="Arial Narrow" w:cs="Arial"/>
                <w:sz w:val="24"/>
              </w:rPr>
              <w:t>2</w:t>
            </w:r>
          </w:p>
        </w:tc>
        <w:tc>
          <w:tcPr>
            <w:tcW w:w="714" w:type="pct"/>
            <w:tcBorders>
              <w:top w:val="nil"/>
              <w:left w:val="nil"/>
              <w:bottom w:val="single" w:color="auto" w:sz="4" w:space="0"/>
              <w:right w:val="single" w:color="auto" w:sz="4" w:space="0"/>
            </w:tcBorders>
            <w:noWrap/>
            <w:vAlign w:val="center"/>
          </w:tcPr>
          <w:p w14:paraId="37D8D69C">
            <w:pPr>
              <w:spacing w:line="580" w:lineRule="exact"/>
            </w:pPr>
            <w:r>
              <w:rPr>
                <w:rFonts w:hint="eastAsia" w:ascii="Arial Narrow" w:hAnsi="Arial Narrow" w:cs="Arial"/>
                <w:sz w:val="24"/>
              </w:rPr>
              <w:t>100</w:t>
            </w:r>
            <w:r>
              <w:rPr>
                <w:rFonts w:ascii="Arial Narrow" w:hAnsi="Arial Narrow" w:cs="Arial"/>
                <w:sz w:val="24"/>
              </w:rPr>
              <w:t>%</w:t>
            </w:r>
          </w:p>
        </w:tc>
      </w:tr>
      <w:tr w14:paraId="690C4AD0">
        <w:tblPrEx>
          <w:tblCellMar>
            <w:top w:w="0" w:type="dxa"/>
            <w:left w:w="108" w:type="dxa"/>
            <w:bottom w:w="0" w:type="dxa"/>
            <w:right w:w="108" w:type="dxa"/>
          </w:tblCellMar>
        </w:tblPrEx>
        <w:trPr>
          <w:trHeight w:val="454" w:hRule="atLeast"/>
          <w:jc w:val="center"/>
        </w:trPr>
        <w:tc>
          <w:tcPr>
            <w:tcW w:w="826" w:type="pct"/>
            <w:vMerge w:val="continue"/>
            <w:tcBorders>
              <w:left w:val="single" w:color="auto" w:sz="4" w:space="0"/>
              <w:right w:val="single" w:color="auto" w:sz="4" w:space="0"/>
            </w:tcBorders>
            <w:noWrap w:val="0"/>
            <w:vAlign w:val="center"/>
          </w:tcPr>
          <w:p w14:paraId="2286B2F7">
            <w:pPr>
              <w:shd w:val="clear" w:color="auto" w:fill="FFFFFF" w:themeFill="background1"/>
              <w:spacing w:line="580" w:lineRule="exact"/>
              <w:ind w:firstLine="480"/>
              <w:rPr>
                <w:rFonts w:ascii="仿宋" w:hAnsi="仿宋"/>
                <w:sz w:val="24"/>
              </w:rPr>
            </w:pPr>
          </w:p>
        </w:tc>
        <w:tc>
          <w:tcPr>
            <w:tcW w:w="773" w:type="pct"/>
            <w:vMerge w:val="restart"/>
            <w:tcBorders>
              <w:top w:val="nil"/>
              <w:left w:val="single" w:color="auto" w:sz="4" w:space="0"/>
              <w:right w:val="single" w:color="auto" w:sz="4" w:space="0"/>
            </w:tcBorders>
            <w:noWrap w:val="0"/>
            <w:vAlign w:val="center"/>
          </w:tcPr>
          <w:p w14:paraId="2933CD8A">
            <w:pPr>
              <w:shd w:val="clear" w:color="auto" w:fill="FFFFFF" w:themeFill="background1"/>
              <w:spacing w:line="580" w:lineRule="exact"/>
              <w:rPr>
                <w:rFonts w:ascii="仿宋" w:hAnsi="仿宋"/>
                <w:sz w:val="24"/>
              </w:rPr>
            </w:pPr>
            <w:r>
              <w:rPr>
                <w:rFonts w:hint="eastAsia" w:ascii="仿宋" w:hAnsi="仿宋"/>
                <w:sz w:val="24"/>
              </w:rPr>
              <w:t>质量指标（10）</w:t>
            </w:r>
          </w:p>
        </w:tc>
        <w:tc>
          <w:tcPr>
            <w:tcW w:w="1731" w:type="pct"/>
            <w:tcBorders>
              <w:top w:val="nil"/>
              <w:left w:val="nil"/>
              <w:bottom w:val="single" w:color="auto" w:sz="4" w:space="0"/>
              <w:right w:val="single" w:color="auto" w:sz="4" w:space="0"/>
            </w:tcBorders>
            <w:noWrap w:val="0"/>
            <w:vAlign w:val="center"/>
          </w:tcPr>
          <w:p w14:paraId="741201D2">
            <w:pPr>
              <w:shd w:val="clear" w:color="auto" w:fill="FFFFFF" w:themeFill="background1"/>
              <w:spacing w:line="580" w:lineRule="exact"/>
              <w:rPr>
                <w:rFonts w:ascii="仿宋" w:hAnsi="仿宋"/>
                <w:sz w:val="24"/>
              </w:rPr>
            </w:pPr>
            <w:r>
              <w:rPr>
                <w:rFonts w:hint="eastAsia" w:ascii="仿宋" w:hAnsi="仿宋"/>
                <w:sz w:val="24"/>
              </w:rPr>
              <w:t>达到国家和行业标准要求</w:t>
            </w:r>
          </w:p>
        </w:tc>
        <w:tc>
          <w:tcPr>
            <w:tcW w:w="480" w:type="pct"/>
            <w:tcBorders>
              <w:top w:val="nil"/>
              <w:left w:val="nil"/>
              <w:bottom w:val="single" w:color="auto" w:sz="4" w:space="0"/>
              <w:right w:val="single" w:color="auto" w:sz="4" w:space="0"/>
            </w:tcBorders>
            <w:noWrap w:val="0"/>
            <w:vAlign w:val="center"/>
          </w:tcPr>
          <w:p w14:paraId="679354B6">
            <w:pPr>
              <w:shd w:val="clear" w:color="auto" w:fill="FFFFFF" w:themeFill="background1"/>
              <w:spacing w:line="580" w:lineRule="exact"/>
              <w:rPr>
                <w:rFonts w:ascii="Arial Narrow" w:hAnsi="Arial Narrow" w:cs="Arial"/>
                <w:sz w:val="24"/>
              </w:rPr>
            </w:pPr>
            <w:r>
              <w:rPr>
                <w:rFonts w:hint="eastAsia" w:ascii="Arial Narrow" w:hAnsi="Arial Narrow" w:cs="Arial"/>
                <w:sz w:val="24"/>
              </w:rPr>
              <w:t>5</w:t>
            </w:r>
          </w:p>
        </w:tc>
        <w:tc>
          <w:tcPr>
            <w:tcW w:w="476" w:type="pct"/>
            <w:tcBorders>
              <w:top w:val="nil"/>
              <w:left w:val="nil"/>
              <w:bottom w:val="single" w:color="auto" w:sz="4" w:space="0"/>
              <w:right w:val="single" w:color="auto" w:sz="4" w:space="0"/>
            </w:tcBorders>
            <w:noWrap/>
            <w:vAlign w:val="center"/>
          </w:tcPr>
          <w:p w14:paraId="0F9842B2">
            <w:pPr>
              <w:shd w:val="clear" w:color="auto" w:fill="FFFFFF" w:themeFill="background1"/>
              <w:spacing w:line="580" w:lineRule="exact"/>
              <w:rPr>
                <w:rFonts w:ascii="Arial Narrow" w:hAnsi="Arial Narrow" w:cs="Arial"/>
                <w:sz w:val="24"/>
              </w:rPr>
            </w:pPr>
            <w:r>
              <w:rPr>
                <w:rFonts w:hint="eastAsia" w:ascii="Arial Narrow" w:hAnsi="Arial Narrow" w:cs="Arial"/>
                <w:sz w:val="24"/>
              </w:rPr>
              <w:t>5</w:t>
            </w:r>
          </w:p>
        </w:tc>
        <w:tc>
          <w:tcPr>
            <w:tcW w:w="714" w:type="pct"/>
            <w:tcBorders>
              <w:top w:val="nil"/>
              <w:left w:val="nil"/>
              <w:bottom w:val="single" w:color="auto" w:sz="4" w:space="0"/>
              <w:right w:val="single" w:color="auto" w:sz="4" w:space="0"/>
            </w:tcBorders>
            <w:noWrap/>
            <w:vAlign w:val="center"/>
          </w:tcPr>
          <w:p w14:paraId="12F1B49A">
            <w:pPr>
              <w:spacing w:line="580" w:lineRule="exact"/>
            </w:pPr>
            <w:r>
              <w:rPr>
                <w:rFonts w:hint="eastAsia" w:ascii="Arial Narrow" w:hAnsi="Arial Narrow" w:cs="Arial"/>
                <w:sz w:val="24"/>
              </w:rPr>
              <w:t>100</w:t>
            </w:r>
            <w:r>
              <w:rPr>
                <w:rFonts w:ascii="Arial Narrow" w:hAnsi="Arial Narrow" w:cs="Arial"/>
                <w:sz w:val="24"/>
              </w:rPr>
              <w:t>%</w:t>
            </w:r>
          </w:p>
        </w:tc>
      </w:tr>
      <w:tr w14:paraId="34F5981A">
        <w:tblPrEx>
          <w:tblCellMar>
            <w:top w:w="0" w:type="dxa"/>
            <w:left w:w="108" w:type="dxa"/>
            <w:bottom w:w="0" w:type="dxa"/>
            <w:right w:w="108" w:type="dxa"/>
          </w:tblCellMar>
        </w:tblPrEx>
        <w:trPr>
          <w:trHeight w:val="454" w:hRule="atLeast"/>
          <w:jc w:val="center"/>
        </w:trPr>
        <w:tc>
          <w:tcPr>
            <w:tcW w:w="826" w:type="pct"/>
            <w:vMerge w:val="continue"/>
            <w:tcBorders>
              <w:left w:val="single" w:color="auto" w:sz="4" w:space="0"/>
              <w:right w:val="single" w:color="auto" w:sz="4" w:space="0"/>
            </w:tcBorders>
            <w:noWrap w:val="0"/>
            <w:vAlign w:val="center"/>
          </w:tcPr>
          <w:p w14:paraId="288E5B39">
            <w:pPr>
              <w:shd w:val="clear" w:color="auto" w:fill="FFFFFF" w:themeFill="background1"/>
              <w:spacing w:line="580" w:lineRule="exact"/>
              <w:ind w:firstLine="480"/>
              <w:rPr>
                <w:rFonts w:ascii="仿宋" w:hAnsi="仿宋"/>
                <w:sz w:val="24"/>
              </w:rPr>
            </w:pPr>
          </w:p>
        </w:tc>
        <w:tc>
          <w:tcPr>
            <w:tcW w:w="773" w:type="pct"/>
            <w:vMerge w:val="continue"/>
            <w:tcBorders>
              <w:left w:val="single" w:color="auto" w:sz="4" w:space="0"/>
              <w:bottom w:val="single" w:color="auto" w:sz="4" w:space="0"/>
              <w:right w:val="single" w:color="auto" w:sz="4" w:space="0"/>
            </w:tcBorders>
            <w:noWrap w:val="0"/>
            <w:vAlign w:val="center"/>
          </w:tcPr>
          <w:p w14:paraId="00254AFB">
            <w:pPr>
              <w:shd w:val="clear" w:color="auto" w:fill="FFFFFF" w:themeFill="background1"/>
              <w:spacing w:line="580" w:lineRule="exact"/>
              <w:rPr>
                <w:rFonts w:ascii="仿宋" w:hAnsi="仿宋"/>
                <w:sz w:val="24"/>
              </w:rPr>
            </w:pPr>
          </w:p>
        </w:tc>
        <w:tc>
          <w:tcPr>
            <w:tcW w:w="1731" w:type="pct"/>
            <w:tcBorders>
              <w:top w:val="nil"/>
              <w:left w:val="nil"/>
              <w:bottom w:val="single" w:color="auto" w:sz="4" w:space="0"/>
              <w:right w:val="single" w:color="auto" w:sz="4" w:space="0"/>
            </w:tcBorders>
            <w:noWrap w:val="0"/>
            <w:vAlign w:val="center"/>
          </w:tcPr>
          <w:p w14:paraId="49E5C918">
            <w:pPr>
              <w:shd w:val="clear" w:color="auto" w:fill="FFFFFF" w:themeFill="background1"/>
              <w:spacing w:line="580" w:lineRule="exact"/>
              <w:rPr>
                <w:rFonts w:ascii="仿宋" w:hAnsi="仿宋"/>
                <w:sz w:val="24"/>
              </w:rPr>
            </w:pPr>
            <w:r>
              <w:rPr>
                <w:rFonts w:hint="eastAsia" w:ascii="仿宋" w:hAnsi="仿宋"/>
                <w:sz w:val="24"/>
              </w:rPr>
              <w:t>工程质量优良</w:t>
            </w:r>
          </w:p>
        </w:tc>
        <w:tc>
          <w:tcPr>
            <w:tcW w:w="480" w:type="pct"/>
            <w:tcBorders>
              <w:top w:val="nil"/>
              <w:left w:val="nil"/>
              <w:bottom w:val="single" w:color="auto" w:sz="4" w:space="0"/>
              <w:right w:val="single" w:color="auto" w:sz="4" w:space="0"/>
            </w:tcBorders>
            <w:noWrap w:val="0"/>
            <w:vAlign w:val="center"/>
          </w:tcPr>
          <w:p w14:paraId="26634E39">
            <w:pPr>
              <w:shd w:val="clear" w:color="auto" w:fill="FFFFFF" w:themeFill="background1"/>
              <w:spacing w:line="580" w:lineRule="exact"/>
              <w:rPr>
                <w:rFonts w:ascii="Arial Narrow" w:hAnsi="Arial Narrow" w:cs="Arial"/>
                <w:sz w:val="24"/>
              </w:rPr>
            </w:pPr>
            <w:r>
              <w:rPr>
                <w:rFonts w:hint="eastAsia" w:ascii="Arial Narrow" w:hAnsi="Arial Narrow" w:cs="Arial"/>
                <w:sz w:val="24"/>
              </w:rPr>
              <w:t>5</w:t>
            </w:r>
          </w:p>
        </w:tc>
        <w:tc>
          <w:tcPr>
            <w:tcW w:w="476" w:type="pct"/>
            <w:tcBorders>
              <w:top w:val="nil"/>
              <w:left w:val="nil"/>
              <w:bottom w:val="single" w:color="auto" w:sz="4" w:space="0"/>
              <w:right w:val="single" w:color="auto" w:sz="4" w:space="0"/>
            </w:tcBorders>
            <w:noWrap/>
            <w:vAlign w:val="center"/>
          </w:tcPr>
          <w:p w14:paraId="62D0DA32">
            <w:pPr>
              <w:shd w:val="clear" w:color="auto" w:fill="FFFFFF" w:themeFill="background1"/>
              <w:spacing w:line="580" w:lineRule="exact"/>
              <w:rPr>
                <w:rFonts w:ascii="Arial Narrow" w:hAnsi="Arial Narrow" w:cs="Arial"/>
                <w:sz w:val="24"/>
              </w:rPr>
            </w:pPr>
            <w:r>
              <w:rPr>
                <w:rFonts w:hint="eastAsia" w:ascii="Arial Narrow" w:hAnsi="Arial Narrow" w:cs="Arial"/>
                <w:sz w:val="24"/>
              </w:rPr>
              <w:t>5</w:t>
            </w:r>
          </w:p>
        </w:tc>
        <w:tc>
          <w:tcPr>
            <w:tcW w:w="714" w:type="pct"/>
            <w:tcBorders>
              <w:top w:val="nil"/>
              <w:left w:val="nil"/>
              <w:bottom w:val="single" w:color="auto" w:sz="4" w:space="0"/>
              <w:right w:val="single" w:color="auto" w:sz="4" w:space="0"/>
            </w:tcBorders>
            <w:noWrap/>
            <w:vAlign w:val="center"/>
          </w:tcPr>
          <w:p w14:paraId="7D0E0DE3">
            <w:pPr>
              <w:spacing w:line="580" w:lineRule="exact"/>
            </w:pPr>
            <w:r>
              <w:rPr>
                <w:rFonts w:hint="eastAsia" w:ascii="Arial Narrow" w:hAnsi="Arial Narrow" w:cs="Arial"/>
                <w:sz w:val="24"/>
              </w:rPr>
              <w:t>100</w:t>
            </w:r>
            <w:r>
              <w:rPr>
                <w:rFonts w:ascii="Arial Narrow" w:hAnsi="Arial Narrow" w:cs="Arial"/>
                <w:sz w:val="24"/>
              </w:rPr>
              <w:t>%</w:t>
            </w:r>
          </w:p>
        </w:tc>
      </w:tr>
      <w:tr w14:paraId="5F7CB924">
        <w:tblPrEx>
          <w:tblCellMar>
            <w:top w:w="0" w:type="dxa"/>
            <w:left w:w="108" w:type="dxa"/>
            <w:bottom w:w="0" w:type="dxa"/>
            <w:right w:w="108" w:type="dxa"/>
          </w:tblCellMar>
        </w:tblPrEx>
        <w:trPr>
          <w:trHeight w:val="490" w:hRule="atLeast"/>
          <w:jc w:val="center"/>
        </w:trPr>
        <w:tc>
          <w:tcPr>
            <w:tcW w:w="826" w:type="pct"/>
            <w:vMerge w:val="continue"/>
            <w:tcBorders>
              <w:left w:val="single" w:color="auto" w:sz="4" w:space="0"/>
              <w:right w:val="single" w:color="auto" w:sz="4" w:space="0"/>
            </w:tcBorders>
            <w:noWrap w:val="0"/>
            <w:vAlign w:val="center"/>
          </w:tcPr>
          <w:p w14:paraId="5E71DFE0">
            <w:pPr>
              <w:shd w:val="clear" w:color="auto" w:fill="FFFFFF" w:themeFill="background1"/>
              <w:spacing w:line="580" w:lineRule="exact"/>
              <w:ind w:firstLine="480"/>
              <w:rPr>
                <w:rFonts w:ascii="仿宋" w:hAnsi="仿宋"/>
                <w:sz w:val="24"/>
              </w:rPr>
            </w:pPr>
          </w:p>
        </w:tc>
        <w:tc>
          <w:tcPr>
            <w:tcW w:w="773" w:type="pct"/>
            <w:vMerge w:val="restart"/>
            <w:tcBorders>
              <w:top w:val="nil"/>
              <w:left w:val="single" w:color="auto" w:sz="4" w:space="0"/>
              <w:right w:val="single" w:color="auto" w:sz="4" w:space="0"/>
            </w:tcBorders>
            <w:noWrap w:val="0"/>
            <w:vAlign w:val="center"/>
          </w:tcPr>
          <w:p w14:paraId="5273A7DF">
            <w:pPr>
              <w:shd w:val="clear" w:color="auto" w:fill="FFFFFF" w:themeFill="background1"/>
              <w:spacing w:line="580" w:lineRule="exact"/>
              <w:rPr>
                <w:rFonts w:ascii="仿宋" w:hAnsi="仿宋"/>
                <w:sz w:val="24"/>
              </w:rPr>
            </w:pPr>
            <w:r>
              <w:rPr>
                <w:rFonts w:hint="eastAsia" w:ascii="仿宋" w:hAnsi="仿宋"/>
                <w:sz w:val="24"/>
              </w:rPr>
              <w:t>时效指标（12）</w:t>
            </w:r>
          </w:p>
        </w:tc>
        <w:tc>
          <w:tcPr>
            <w:tcW w:w="1731" w:type="pct"/>
            <w:tcBorders>
              <w:top w:val="nil"/>
              <w:left w:val="nil"/>
              <w:bottom w:val="single" w:color="auto" w:sz="4" w:space="0"/>
              <w:right w:val="single" w:color="auto" w:sz="4" w:space="0"/>
            </w:tcBorders>
            <w:noWrap w:val="0"/>
            <w:vAlign w:val="center"/>
          </w:tcPr>
          <w:p w14:paraId="76FBFAC7">
            <w:pPr>
              <w:shd w:val="clear" w:color="auto" w:fill="FFFFFF" w:themeFill="background1"/>
              <w:spacing w:line="580" w:lineRule="exact"/>
              <w:rPr>
                <w:rFonts w:ascii="仿宋" w:hAnsi="仿宋"/>
                <w:sz w:val="24"/>
              </w:rPr>
            </w:pPr>
            <w:r>
              <w:rPr>
                <w:rFonts w:hint="eastAsia" w:ascii="仿宋" w:hAnsi="仿宋"/>
                <w:sz w:val="24"/>
              </w:rPr>
              <w:t>系统投入运行</w:t>
            </w:r>
          </w:p>
        </w:tc>
        <w:tc>
          <w:tcPr>
            <w:tcW w:w="480" w:type="pct"/>
            <w:tcBorders>
              <w:top w:val="nil"/>
              <w:left w:val="nil"/>
              <w:bottom w:val="single" w:color="auto" w:sz="4" w:space="0"/>
              <w:right w:val="single" w:color="auto" w:sz="4" w:space="0"/>
            </w:tcBorders>
            <w:noWrap w:val="0"/>
            <w:vAlign w:val="center"/>
          </w:tcPr>
          <w:p w14:paraId="3C2261F6">
            <w:pPr>
              <w:shd w:val="clear" w:color="auto" w:fill="FFFFFF" w:themeFill="background1"/>
              <w:spacing w:line="580" w:lineRule="exact"/>
              <w:ind w:firstLine="240"/>
              <w:rPr>
                <w:rFonts w:ascii="Arial Narrow" w:hAnsi="Arial Narrow" w:cs="Arial"/>
                <w:sz w:val="24"/>
              </w:rPr>
            </w:pPr>
            <w:r>
              <w:rPr>
                <w:rFonts w:hint="eastAsia" w:ascii="Arial Narrow" w:hAnsi="Arial Narrow" w:cs="Arial"/>
                <w:sz w:val="24"/>
              </w:rPr>
              <w:t>10</w:t>
            </w:r>
          </w:p>
        </w:tc>
        <w:tc>
          <w:tcPr>
            <w:tcW w:w="476" w:type="pct"/>
            <w:tcBorders>
              <w:top w:val="nil"/>
              <w:left w:val="nil"/>
              <w:bottom w:val="single" w:color="auto" w:sz="4" w:space="0"/>
              <w:right w:val="single" w:color="auto" w:sz="4" w:space="0"/>
            </w:tcBorders>
            <w:noWrap/>
            <w:vAlign w:val="center"/>
          </w:tcPr>
          <w:p w14:paraId="404FC672">
            <w:pPr>
              <w:shd w:val="clear" w:color="auto" w:fill="FFFFFF" w:themeFill="background1"/>
              <w:spacing w:line="580" w:lineRule="exact"/>
              <w:rPr>
                <w:rFonts w:ascii="Arial Narrow" w:hAnsi="Arial Narrow" w:cs="Arial"/>
                <w:sz w:val="24"/>
              </w:rPr>
            </w:pPr>
            <w:r>
              <w:rPr>
                <w:rFonts w:hint="eastAsia" w:ascii="Arial Narrow" w:hAnsi="Arial Narrow" w:cs="Arial"/>
                <w:sz w:val="24"/>
              </w:rPr>
              <w:t>10</w:t>
            </w:r>
          </w:p>
        </w:tc>
        <w:tc>
          <w:tcPr>
            <w:tcW w:w="714" w:type="pct"/>
            <w:tcBorders>
              <w:top w:val="nil"/>
              <w:left w:val="nil"/>
              <w:bottom w:val="single" w:color="auto" w:sz="4" w:space="0"/>
              <w:right w:val="single" w:color="auto" w:sz="4" w:space="0"/>
            </w:tcBorders>
            <w:noWrap/>
            <w:vAlign w:val="center"/>
          </w:tcPr>
          <w:p w14:paraId="5ED05707">
            <w:pPr>
              <w:spacing w:line="580" w:lineRule="exact"/>
            </w:pPr>
            <w:r>
              <w:rPr>
                <w:rFonts w:hint="eastAsia" w:ascii="Arial Narrow" w:hAnsi="Arial Narrow" w:cs="Arial"/>
                <w:sz w:val="24"/>
              </w:rPr>
              <w:t>100</w:t>
            </w:r>
            <w:r>
              <w:rPr>
                <w:rFonts w:ascii="Arial Narrow" w:hAnsi="Arial Narrow" w:cs="Arial"/>
                <w:sz w:val="24"/>
              </w:rPr>
              <w:t>%</w:t>
            </w:r>
          </w:p>
        </w:tc>
      </w:tr>
      <w:tr w14:paraId="6359AEAF">
        <w:tblPrEx>
          <w:tblCellMar>
            <w:top w:w="0" w:type="dxa"/>
            <w:left w:w="108" w:type="dxa"/>
            <w:bottom w:w="0" w:type="dxa"/>
            <w:right w:w="108" w:type="dxa"/>
          </w:tblCellMar>
        </w:tblPrEx>
        <w:trPr>
          <w:trHeight w:val="454" w:hRule="atLeast"/>
          <w:jc w:val="center"/>
        </w:trPr>
        <w:tc>
          <w:tcPr>
            <w:tcW w:w="826" w:type="pct"/>
            <w:vMerge w:val="continue"/>
            <w:tcBorders>
              <w:left w:val="single" w:color="auto" w:sz="4" w:space="0"/>
              <w:right w:val="single" w:color="auto" w:sz="4" w:space="0"/>
            </w:tcBorders>
            <w:noWrap w:val="0"/>
            <w:vAlign w:val="center"/>
          </w:tcPr>
          <w:p w14:paraId="438D9E3C">
            <w:pPr>
              <w:shd w:val="clear" w:color="auto" w:fill="FFFFFF" w:themeFill="background1"/>
              <w:spacing w:line="580" w:lineRule="exact"/>
              <w:ind w:firstLine="480"/>
              <w:rPr>
                <w:rFonts w:ascii="仿宋" w:hAnsi="仿宋"/>
                <w:sz w:val="24"/>
              </w:rPr>
            </w:pPr>
          </w:p>
        </w:tc>
        <w:tc>
          <w:tcPr>
            <w:tcW w:w="773" w:type="pct"/>
            <w:vMerge w:val="continue"/>
            <w:tcBorders>
              <w:left w:val="single" w:color="auto" w:sz="4" w:space="0"/>
              <w:bottom w:val="single" w:color="auto" w:sz="4" w:space="0"/>
              <w:right w:val="single" w:color="auto" w:sz="4" w:space="0"/>
            </w:tcBorders>
            <w:noWrap w:val="0"/>
            <w:vAlign w:val="center"/>
          </w:tcPr>
          <w:p w14:paraId="63885D16">
            <w:pPr>
              <w:shd w:val="clear" w:color="auto" w:fill="FFFFFF" w:themeFill="background1"/>
              <w:spacing w:line="580" w:lineRule="exact"/>
              <w:rPr>
                <w:rFonts w:ascii="仿宋" w:hAnsi="仿宋"/>
                <w:sz w:val="24"/>
              </w:rPr>
            </w:pPr>
          </w:p>
        </w:tc>
        <w:tc>
          <w:tcPr>
            <w:tcW w:w="1731" w:type="pct"/>
            <w:tcBorders>
              <w:top w:val="single" w:color="auto" w:sz="4" w:space="0"/>
              <w:left w:val="nil"/>
              <w:bottom w:val="single" w:color="auto" w:sz="4" w:space="0"/>
              <w:right w:val="single" w:color="auto" w:sz="4" w:space="0"/>
            </w:tcBorders>
            <w:noWrap w:val="0"/>
            <w:vAlign w:val="center"/>
          </w:tcPr>
          <w:p w14:paraId="102FD83F">
            <w:pPr>
              <w:shd w:val="clear" w:color="auto" w:fill="FFFFFF" w:themeFill="background1"/>
              <w:spacing w:line="580" w:lineRule="exact"/>
              <w:rPr>
                <w:rFonts w:ascii="仿宋" w:hAnsi="仿宋"/>
                <w:sz w:val="24"/>
              </w:rPr>
            </w:pPr>
            <w:r>
              <w:rPr>
                <w:rFonts w:hint="eastAsia" w:ascii="仿宋" w:hAnsi="仿宋"/>
                <w:sz w:val="24"/>
              </w:rPr>
              <w:t>工程通过验收</w:t>
            </w:r>
          </w:p>
        </w:tc>
        <w:tc>
          <w:tcPr>
            <w:tcW w:w="480" w:type="pct"/>
            <w:tcBorders>
              <w:top w:val="single" w:color="auto" w:sz="4" w:space="0"/>
              <w:left w:val="nil"/>
              <w:bottom w:val="single" w:color="auto" w:sz="4" w:space="0"/>
              <w:right w:val="single" w:color="auto" w:sz="4" w:space="0"/>
            </w:tcBorders>
            <w:noWrap w:val="0"/>
            <w:vAlign w:val="center"/>
          </w:tcPr>
          <w:p w14:paraId="702B9681">
            <w:pPr>
              <w:shd w:val="clear" w:color="auto" w:fill="FFFFFF" w:themeFill="background1"/>
              <w:spacing w:line="580" w:lineRule="exact"/>
              <w:ind w:firstLine="240"/>
              <w:rPr>
                <w:rFonts w:ascii="Arial Narrow" w:hAnsi="Arial Narrow" w:cs="Arial"/>
                <w:sz w:val="24"/>
              </w:rPr>
            </w:pPr>
            <w:r>
              <w:rPr>
                <w:rFonts w:hint="eastAsia" w:ascii="Arial Narrow" w:hAnsi="Arial Narrow" w:cs="Arial"/>
                <w:sz w:val="24"/>
              </w:rPr>
              <w:t>2</w:t>
            </w:r>
          </w:p>
        </w:tc>
        <w:tc>
          <w:tcPr>
            <w:tcW w:w="476" w:type="pct"/>
            <w:tcBorders>
              <w:top w:val="single" w:color="auto" w:sz="4" w:space="0"/>
              <w:left w:val="nil"/>
              <w:bottom w:val="single" w:color="auto" w:sz="4" w:space="0"/>
              <w:right w:val="single" w:color="auto" w:sz="4" w:space="0"/>
            </w:tcBorders>
            <w:noWrap/>
            <w:vAlign w:val="center"/>
          </w:tcPr>
          <w:p w14:paraId="558A57A5">
            <w:pPr>
              <w:shd w:val="clear" w:color="auto" w:fill="FFFFFF" w:themeFill="background1"/>
              <w:spacing w:line="580" w:lineRule="exact"/>
              <w:rPr>
                <w:rFonts w:ascii="Arial Narrow" w:hAnsi="Arial Narrow" w:cs="Arial"/>
                <w:sz w:val="24"/>
              </w:rPr>
            </w:pPr>
            <w:r>
              <w:rPr>
                <w:rFonts w:hint="eastAsia" w:ascii="Arial Narrow" w:hAnsi="Arial Narrow" w:cs="Arial"/>
                <w:sz w:val="24"/>
              </w:rPr>
              <w:t>2</w:t>
            </w:r>
          </w:p>
        </w:tc>
        <w:tc>
          <w:tcPr>
            <w:tcW w:w="714" w:type="pct"/>
            <w:tcBorders>
              <w:top w:val="single" w:color="auto" w:sz="4" w:space="0"/>
              <w:left w:val="nil"/>
              <w:bottom w:val="single" w:color="auto" w:sz="4" w:space="0"/>
              <w:right w:val="single" w:color="auto" w:sz="4" w:space="0"/>
            </w:tcBorders>
            <w:noWrap/>
            <w:vAlign w:val="center"/>
          </w:tcPr>
          <w:p w14:paraId="0D42689C">
            <w:pPr>
              <w:shd w:val="clear" w:color="auto" w:fill="FFFFFF" w:themeFill="background1"/>
              <w:spacing w:line="580" w:lineRule="exact"/>
              <w:rPr>
                <w:rFonts w:ascii="Arial Narrow" w:hAnsi="Arial Narrow" w:cs="Arial"/>
                <w:sz w:val="24"/>
              </w:rPr>
            </w:pPr>
            <w:r>
              <w:rPr>
                <w:rFonts w:hint="eastAsia" w:ascii="Arial Narrow" w:hAnsi="Arial Narrow" w:cs="Arial"/>
                <w:sz w:val="24"/>
              </w:rPr>
              <w:t>100%</w:t>
            </w:r>
          </w:p>
        </w:tc>
      </w:tr>
      <w:tr w14:paraId="5817EB6E">
        <w:tblPrEx>
          <w:tblCellMar>
            <w:top w:w="0" w:type="dxa"/>
            <w:left w:w="108" w:type="dxa"/>
            <w:bottom w:w="0" w:type="dxa"/>
            <w:right w:w="108" w:type="dxa"/>
          </w:tblCellMar>
        </w:tblPrEx>
        <w:trPr>
          <w:trHeight w:val="454" w:hRule="atLeast"/>
          <w:jc w:val="center"/>
        </w:trPr>
        <w:tc>
          <w:tcPr>
            <w:tcW w:w="826" w:type="pct"/>
            <w:vMerge w:val="continue"/>
            <w:tcBorders>
              <w:left w:val="single" w:color="auto" w:sz="4" w:space="0"/>
              <w:right w:val="single" w:color="auto" w:sz="4" w:space="0"/>
            </w:tcBorders>
            <w:noWrap w:val="0"/>
            <w:vAlign w:val="center"/>
          </w:tcPr>
          <w:p w14:paraId="54542577">
            <w:pPr>
              <w:shd w:val="clear" w:color="auto" w:fill="FFFFFF" w:themeFill="background1"/>
              <w:spacing w:line="580" w:lineRule="exact"/>
              <w:ind w:firstLine="480"/>
              <w:rPr>
                <w:rFonts w:ascii="仿宋" w:hAnsi="仿宋"/>
                <w:sz w:val="24"/>
              </w:rPr>
            </w:pPr>
          </w:p>
        </w:tc>
        <w:tc>
          <w:tcPr>
            <w:tcW w:w="773" w:type="pct"/>
            <w:vMerge w:val="restart"/>
            <w:tcBorders>
              <w:top w:val="single" w:color="auto" w:sz="4" w:space="0"/>
              <w:left w:val="single" w:color="auto" w:sz="4" w:space="0"/>
              <w:right w:val="single" w:color="auto" w:sz="4" w:space="0"/>
            </w:tcBorders>
            <w:noWrap w:val="0"/>
            <w:vAlign w:val="center"/>
          </w:tcPr>
          <w:p w14:paraId="1130CA86">
            <w:pPr>
              <w:shd w:val="clear" w:color="auto" w:fill="FFFFFF" w:themeFill="background1"/>
              <w:spacing w:line="580" w:lineRule="exact"/>
              <w:rPr>
                <w:rFonts w:ascii="仿宋" w:hAnsi="仿宋"/>
                <w:sz w:val="24"/>
              </w:rPr>
            </w:pPr>
            <w:r>
              <w:rPr>
                <w:rFonts w:hint="eastAsia" w:ascii="仿宋" w:hAnsi="仿宋"/>
                <w:sz w:val="24"/>
              </w:rPr>
              <w:t>成本指标（20）</w:t>
            </w:r>
          </w:p>
        </w:tc>
        <w:tc>
          <w:tcPr>
            <w:tcW w:w="1731" w:type="pct"/>
            <w:tcBorders>
              <w:top w:val="single" w:color="auto" w:sz="4" w:space="0"/>
              <w:left w:val="nil"/>
              <w:bottom w:val="single" w:color="auto" w:sz="4" w:space="0"/>
              <w:right w:val="single" w:color="auto" w:sz="4" w:space="0"/>
            </w:tcBorders>
            <w:noWrap w:val="0"/>
          </w:tcPr>
          <w:p w14:paraId="0659FF7C">
            <w:pPr>
              <w:shd w:val="clear" w:color="auto" w:fill="FFFFFF" w:themeFill="background1"/>
              <w:spacing w:line="580" w:lineRule="exact"/>
              <w:rPr>
                <w:rFonts w:ascii="仿宋" w:hAnsi="仿宋"/>
                <w:sz w:val="24"/>
              </w:rPr>
            </w:pPr>
            <w:r>
              <w:rPr>
                <w:rFonts w:hint="eastAsia" w:ascii="仿宋" w:hAnsi="仿宋"/>
                <w:sz w:val="24"/>
              </w:rPr>
              <w:t>工程费用（包括设备购置费、软件部署、工程安装等费用）</w:t>
            </w:r>
          </w:p>
        </w:tc>
        <w:tc>
          <w:tcPr>
            <w:tcW w:w="480" w:type="pct"/>
            <w:tcBorders>
              <w:top w:val="nil"/>
              <w:left w:val="nil"/>
              <w:bottom w:val="single" w:color="auto" w:sz="4" w:space="0"/>
              <w:right w:val="single" w:color="auto" w:sz="4" w:space="0"/>
            </w:tcBorders>
            <w:noWrap w:val="0"/>
            <w:vAlign w:val="center"/>
          </w:tcPr>
          <w:p w14:paraId="1C3B183A">
            <w:pPr>
              <w:shd w:val="clear" w:color="auto" w:fill="FFFFFF" w:themeFill="background1"/>
              <w:spacing w:line="580" w:lineRule="exact"/>
              <w:rPr>
                <w:rFonts w:ascii="Arial Narrow" w:hAnsi="Arial Narrow" w:cs="Arial"/>
                <w:sz w:val="24"/>
              </w:rPr>
            </w:pPr>
            <w:r>
              <w:rPr>
                <w:rFonts w:hint="eastAsia" w:ascii="Arial Narrow" w:hAnsi="Arial Narrow" w:cs="Arial"/>
                <w:sz w:val="24"/>
              </w:rPr>
              <w:t>10</w:t>
            </w:r>
          </w:p>
        </w:tc>
        <w:tc>
          <w:tcPr>
            <w:tcW w:w="476" w:type="pct"/>
            <w:tcBorders>
              <w:top w:val="nil"/>
              <w:left w:val="nil"/>
              <w:bottom w:val="single" w:color="auto" w:sz="4" w:space="0"/>
              <w:right w:val="single" w:color="auto" w:sz="4" w:space="0"/>
            </w:tcBorders>
            <w:noWrap/>
            <w:vAlign w:val="center"/>
          </w:tcPr>
          <w:p w14:paraId="72264D8D">
            <w:pPr>
              <w:shd w:val="clear" w:color="auto" w:fill="FFFFFF" w:themeFill="background1"/>
              <w:spacing w:line="580" w:lineRule="exact"/>
              <w:rPr>
                <w:rFonts w:ascii="Arial Narrow" w:hAnsi="Arial Narrow" w:cs="Arial"/>
                <w:sz w:val="24"/>
              </w:rPr>
            </w:pPr>
            <w:r>
              <w:rPr>
                <w:rFonts w:hint="eastAsia" w:ascii="Arial Narrow" w:hAnsi="Arial Narrow" w:cs="Arial"/>
                <w:sz w:val="24"/>
              </w:rPr>
              <w:t>10</w:t>
            </w:r>
          </w:p>
        </w:tc>
        <w:tc>
          <w:tcPr>
            <w:tcW w:w="714" w:type="pct"/>
            <w:tcBorders>
              <w:top w:val="nil"/>
              <w:left w:val="nil"/>
              <w:bottom w:val="single" w:color="auto" w:sz="4" w:space="0"/>
              <w:right w:val="single" w:color="auto" w:sz="4" w:space="0"/>
            </w:tcBorders>
            <w:noWrap/>
            <w:vAlign w:val="center"/>
          </w:tcPr>
          <w:p w14:paraId="330BA779">
            <w:pPr>
              <w:spacing w:line="580" w:lineRule="exact"/>
              <w:ind w:firstLine="120"/>
            </w:pPr>
            <w:r>
              <w:rPr>
                <w:rFonts w:hint="eastAsia" w:ascii="Arial Narrow" w:hAnsi="Arial Narrow" w:cs="Arial"/>
                <w:sz w:val="24"/>
              </w:rPr>
              <w:t>100</w:t>
            </w:r>
            <w:r>
              <w:rPr>
                <w:rFonts w:ascii="Arial Narrow" w:hAnsi="Arial Narrow" w:cs="Arial"/>
                <w:sz w:val="24"/>
              </w:rPr>
              <w:t>%</w:t>
            </w:r>
          </w:p>
        </w:tc>
      </w:tr>
      <w:tr w14:paraId="7EFC5523">
        <w:tblPrEx>
          <w:tblCellMar>
            <w:top w:w="0" w:type="dxa"/>
            <w:left w:w="108" w:type="dxa"/>
            <w:bottom w:w="0" w:type="dxa"/>
            <w:right w:w="108" w:type="dxa"/>
          </w:tblCellMar>
        </w:tblPrEx>
        <w:trPr>
          <w:trHeight w:val="454" w:hRule="atLeast"/>
          <w:jc w:val="center"/>
        </w:trPr>
        <w:tc>
          <w:tcPr>
            <w:tcW w:w="826" w:type="pct"/>
            <w:vMerge w:val="continue"/>
            <w:tcBorders>
              <w:left w:val="single" w:color="auto" w:sz="4" w:space="0"/>
              <w:bottom w:val="single" w:color="auto" w:sz="4" w:space="0"/>
              <w:right w:val="single" w:color="auto" w:sz="4" w:space="0"/>
            </w:tcBorders>
            <w:noWrap w:val="0"/>
            <w:vAlign w:val="center"/>
          </w:tcPr>
          <w:p w14:paraId="6D93BE29">
            <w:pPr>
              <w:shd w:val="clear" w:color="auto" w:fill="FFFFFF" w:themeFill="background1"/>
              <w:spacing w:line="580" w:lineRule="exact"/>
              <w:ind w:firstLine="480"/>
              <w:rPr>
                <w:rFonts w:ascii="仿宋" w:hAnsi="仿宋"/>
                <w:sz w:val="24"/>
              </w:rPr>
            </w:pPr>
          </w:p>
        </w:tc>
        <w:tc>
          <w:tcPr>
            <w:tcW w:w="773" w:type="pct"/>
            <w:vMerge w:val="continue"/>
            <w:tcBorders>
              <w:left w:val="single" w:color="auto" w:sz="4" w:space="0"/>
              <w:right w:val="single" w:color="auto" w:sz="4" w:space="0"/>
            </w:tcBorders>
            <w:noWrap w:val="0"/>
            <w:vAlign w:val="center"/>
          </w:tcPr>
          <w:p w14:paraId="5DC99DFB">
            <w:pPr>
              <w:shd w:val="clear" w:color="auto" w:fill="FFFFFF" w:themeFill="background1"/>
              <w:spacing w:line="580" w:lineRule="exact"/>
              <w:rPr>
                <w:rFonts w:ascii="仿宋" w:hAnsi="仿宋"/>
                <w:sz w:val="24"/>
              </w:rPr>
            </w:pPr>
          </w:p>
        </w:tc>
        <w:tc>
          <w:tcPr>
            <w:tcW w:w="1731" w:type="pct"/>
            <w:tcBorders>
              <w:top w:val="single" w:color="auto" w:sz="4" w:space="0"/>
              <w:left w:val="nil"/>
              <w:bottom w:val="single" w:color="auto" w:sz="4" w:space="0"/>
              <w:right w:val="single" w:color="auto" w:sz="4" w:space="0"/>
            </w:tcBorders>
            <w:noWrap w:val="0"/>
          </w:tcPr>
          <w:p w14:paraId="043D5323">
            <w:pPr>
              <w:shd w:val="clear" w:color="auto" w:fill="FFFFFF" w:themeFill="background1"/>
              <w:spacing w:line="580" w:lineRule="exact"/>
              <w:rPr>
                <w:rFonts w:ascii="仿宋" w:hAnsi="仿宋"/>
                <w:sz w:val="24"/>
              </w:rPr>
            </w:pPr>
            <w:r>
              <w:rPr>
                <w:rFonts w:hint="eastAsia" w:ascii="仿宋" w:hAnsi="仿宋"/>
                <w:sz w:val="24"/>
              </w:rPr>
              <w:t>其他费用（包括建设管理、设计、招标、监理、审计等）</w:t>
            </w:r>
          </w:p>
        </w:tc>
        <w:tc>
          <w:tcPr>
            <w:tcW w:w="480" w:type="pct"/>
            <w:tcBorders>
              <w:top w:val="nil"/>
              <w:left w:val="nil"/>
              <w:bottom w:val="single" w:color="auto" w:sz="4" w:space="0"/>
              <w:right w:val="single" w:color="auto" w:sz="4" w:space="0"/>
            </w:tcBorders>
            <w:noWrap w:val="0"/>
            <w:vAlign w:val="center"/>
          </w:tcPr>
          <w:p w14:paraId="3ADD6255">
            <w:pPr>
              <w:shd w:val="clear" w:color="auto" w:fill="FFFFFF" w:themeFill="background1"/>
              <w:spacing w:line="580" w:lineRule="exact"/>
              <w:rPr>
                <w:rFonts w:ascii="Arial Narrow" w:hAnsi="Arial Narrow" w:cs="Arial"/>
                <w:sz w:val="24"/>
              </w:rPr>
            </w:pPr>
            <w:r>
              <w:rPr>
                <w:rFonts w:hint="eastAsia" w:ascii="Arial Narrow" w:hAnsi="Arial Narrow" w:cs="Arial"/>
                <w:sz w:val="24"/>
              </w:rPr>
              <w:t>10</w:t>
            </w:r>
          </w:p>
        </w:tc>
        <w:tc>
          <w:tcPr>
            <w:tcW w:w="476" w:type="pct"/>
            <w:tcBorders>
              <w:top w:val="nil"/>
              <w:left w:val="nil"/>
              <w:bottom w:val="single" w:color="auto" w:sz="4" w:space="0"/>
              <w:right w:val="single" w:color="auto" w:sz="4" w:space="0"/>
            </w:tcBorders>
            <w:noWrap/>
            <w:vAlign w:val="center"/>
          </w:tcPr>
          <w:p w14:paraId="3F56C440">
            <w:pPr>
              <w:shd w:val="clear" w:color="auto" w:fill="FFFFFF" w:themeFill="background1"/>
              <w:spacing w:line="580" w:lineRule="exact"/>
              <w:rPr>
                <w:rFonts w:ascii="Arial Narrow" w:hAnsi="Arial Narrow" w:cs="Arial"/>
                <w:sz w:val="24"/>
              </w:rPr>
            </w:pPr>
            <w:r>
              <w:rPr>
                <w:rFonts w:hint="eastAsia" w:ascii="Arial Narrow" w:hAnsi="Arial Narrow" w:cs="Arial"/>
                <w:sz w:val="24"/>
              </w:rPr>
              <w:t>10</w:t>
            </w:r>
          </w:p>
        </w:tc>
        <w:tc>
          <w:tcPr>
            <w:tcW w:w="714" w:type="pct"/>
            <w:tcBorders>
              <w:top w:val="nil"/>
              <w:left w:val="nil"/>
              <w:bottom w:val="single" w:color="auto" w:sz="4" w:space="0"/>
              <w:right w:val="single" w:color="auto" w:sz="4" w:space="0"/>
            </w:tcBorders>
            <w:noWrap/>
            <w:vAlign w:val="center"/>
          </w:tcPr>
          <w:p w14:paraId="2FCF0690">
            <w:pPr>
              <w:spacing w:line="580" w:lineRule="exact"/>
              <w:ind w:firstLine="120"/>
            </w:pPr>
            <w:r>
              <w:rPr>
                <w:rFonts w:hint="eastAsia" w:ascii="Arial Narrow" w:hAnsi="Arial Narrow" w:cs="Arial"/>
                <w:sz w:val="24"/>
              </w:rPr>
              <w:t>100</w:t>
            </w:r>
            <w:r>
              <w:rPr>
                <w:rFonts w:ascii="Arial Narrow" w:hAnsi="Arial Narrow" w:cs="Arial"/>
                <w:sz w:val="24"/>
              </w:rPr>
              <w:t>%</w:t>
            </w:r>
          </w:p>
        </w:tc>
      </w:tr>
      <w:tr w14:paraId="56CB7A14">
        <w:tblPrEx>
          <w:tblCellMar>
            <w:top w:w="0" w:type="dxa"/>
            <w:left w:w="108" w:type="dxa"/>
            <w:bottom w:w="0" w:type="dxa"/>
            <w:right w:w="108" w:type="dxa"/>
          </w:tblCellMar>
        </w:tblPrEx>
        <w:trPr>
          <w:trHeight w:val="454" w:hRule="atLeast"/>
          <w:jc w:val="center"/>
        </w:trPr>
        <w:tc>
          <w:tcPr>
            <w:tcW w:w="3330" w:type="pct"/>
            <w:gridSpan w:val="3"/>
            <w:tcBorders>
              <w:top w:val="single" w:color="auto" w:sz="4" w:space="0"/>
              <w:left w:val="single" w:color="auto" w:sz="4" w:space="0"/>
              <w:bottom w:val="single" w:color="auto" w:sz="4" w:space="0"/>
              <w:right w:val="single" w:color="auto" w:sz="4" w:space="0"/>
            </w:tcBorders>
            <w:noWrap w:val="0"/>
            <w:vAlign w:val="center"/>
          </w:tcPr>
          <w:p w14:paraId="583CE99D">
            <w:pPr>
              <w:shd w:val="clear" w:color="auto" w:fill="FFFFFF" w:themeFill="background1"/>
              <w:spacing w:line="580" w:lineRule="exact"/>
              <w:ind w:firstLine="482"/>
              <w:rPr>
                <w:rFonts w:ascii="仿宋" w:hAnsi="仿宋"/>
                <w:b/>
                <w:bCs/>
                <w:sz w:val="24"/>
              </w:rPr>
            </w:pPr>
            <w:r>
              <w:rPr>
                <w:rFonts w:hint="eastAsia" w:ascii="仿宋" w:hAnsi="仿宋"/>
                <w:b/>
                <w:bCs/>
                <w:sz w:val="24"/>
              </w:rPr>
              <w:t>小    计</w:t>
            </w:r>
          </w:p>
        </w:tc>
        <w:tc>
          <w:tcPr>
            <w:tcW w:w="480" w:type="pct"/>
            <w:tcBorders>
              <w:top w:val="nil"/>
              <w:left w:val="nil"/>
              <w:bottom w:val="single" w:color="auto" w:sz="4" w:space="0"/>
              <w:right w:val="single" w:color="auto" w:sz="4" w:space="0"/>
            </w:tcBorders>
            <w:noWrap w:val="0"/>
            <w:vAlign w:val="center"/>
          </w:tcPr>
          <w:p w14:paraId="2129FA8A">
            <w:pPr>
              <w:shd w:val="clear" w:color="auto" w:fill="FFFFFF" w:themeFill="background1"/>
              <w:spacing w:line="580" w:lineRule="exact"/>
              <w:rPr>
                <w:rFonts w:ascii="Arial Narrow" w:hAnsi="Arial Narrow" w:cs="Arial"/>
                <w:b/>
                <w:bCs/>
                <w:sz w:val="24"/>
              </w:rPr>
            </w:pPr>
            <w:r>
              <w:rPr>
                <w:rFonts w:hint="eastAsia" w:ascii="Arial Narrow" w:hAnsi="Arial Narrow" w:cs="Arial"/>
                <w:b/>
                <w:bCs/>
                <w:sz w:val="24"/>
              </w:rPr>
              <w:t>50</w:t>
            </w:r>
          </w:p>
        </w:tc>
        <w:tc>
          <w:tcPr>
            <w:tcW w:w="476" w:type="pct"/>
            <w:tcBorders>
              <w:top w:val="nil"/>
              <w:left w:val="nil"/>
              <w:bottom w:val="single" w:color="auto" w:sz="4" w:space="0"/>
              <w:right w:val="single" w:color="auto" w:sz="4" w:space="0"/>
            </w:tcBorders>
            <w:noWrap w:val="0"/>
            <w:vAlign w:val="center"/>
          </w:tcPr>
          <w:p w14:paraId="7F968F28">
            <w:pPr>
              <w:shd w:val="clear" w:color="auto" w:fill="FFFFFF" w:themeFill="background1"/>
              <w:spacing w:line="580" w:lineRule="exact"/>
              <w:rPr>
                <w:rFonts w:ascii="Arial Narrow" w:hAnsi="Arial Narrow" w:cs="Arial"/>
                <w:b/>
                <w:bCs/>
                <w:sz w:val="24"/>
              </w:rPr>
            </w:pPr>
            <w:r>
              <w:rPr>
                <w:rFonts w:hint="eastAsia" w:ascii="Arial Narrow" w:hAnsi="Arial Narrow" w:cs="Arial"/>
                <w:b/>
                <w:bCs/>
                <w:sz w:val="24"/>
              </w:rPr>
              <w:t>50</w:t>
            </w:r>
          </w:p>
        </w:tc>
        <w:tc>
          <w:tcPr>
            <w:tcW w:w="714" w:type="pct"/>
            <w:tcBorders>
              <w:top w:val="nil"/>
              <w:left w:val="nil"/>
              <w:bottom w:val="single" w:color="auto" w:sz="4" w:space="0"/>
              <w:right w:val="single" w:color="auto" w:sz="4" w:space="0"/>
            </w:tcBorders>
            <w:noWrap/>
            <w:vAlign w:val="center"/>
          </w:tcPr>
          <w:p w14:paraId="2B6162A9">
            <w:pPr>
              <w:shd w:val="clear" w:color="auto" w:fill="FFFFFF" w:themeFill="background1"/>
              <w:spacing w:line="580" w:lineRule="exact"/>
              <w:rPr>
                <w:rFonts w:ascii="Arial Narrow" w:hAnsi="Arial Narrow" w:cs="Arial"/>
                <w:b/>
                <w:bCs/>
                <w:sz w:val="24"/>
              </w:rPr>
            </w:pPr>
            <w:r>
              <w:rPr>
                <w:rFonts w:hint="eastAsia" w:ascii="Arial Narrow" w:hAnsi="Arial Narrow" w:cs="Arial"/>
                <w:b/>
                <w:bCs/>
                <w:sz w:val="24"/>
              </w:rPr>
              <w:t>100</w:t>
            </w:r>
            <w:r>
              <w:rPr>
                <w:rFonts w:ascii="Arial Narrow" w:hAnsi="Arial Narrow" w:cs="Arial"/>
                <w:b/>
                <w:bCs/>
                <w:sz w:val="24"/>
              </w:rPr>
              <w:t>%</w:t>
            </w:r>
          </w:p>
        </w:tc>
      </w:tr>
    </w:tbl>
    <w:p w14:paraId="06964C0B">
      <w:pPr>
        <w:spacing w:before="211"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2.效益指标分析（指标分值30分，得分30分）</w:t>
      </w:r>
    </w:p>
    <w:p w14:paraId="225F8121">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指标主要从经济、社会、生态三个方面进行评价。达到智慧城市与数字政府融合推进，实现各职能部门资源共享，达到国家和行业标准要求，全县智慧化水平增强。本项应得分30分，扣0分，评价得分30分，得分率100%。</w:t>
      </w:r>
    </w:p>
    <w:p w14:paraId="4C021B47">
      <w:pPr>
        <w:shd w:val="clear" w:color="auto" w:fill="FFFFFF" w:themeFill="background1"/>
        <w:spacing w:before="156" w:after="156" w:line="580" w:lineRule="exact"/>
        <w:ind w:firstLine="640"/>
        <w:rPr>
          <w:rFonts w:ascii="仿宋" w:hAnsi="仿宋"/>
          <w:sz w:val="32"/>
          <w:szCs w:val="32"/>
        </w:rPr>
      </w:pPr>
      <w:r>
        <w:rPr>
          <w:rFonts w:hint="eastAsia" w:ascii="仿宋" w:hAnsi="仿宋"/>
          <w:sz w:val="32"/>
          <w:szCs w:val="32"/>
        </w:rPr>
        <w:t>表2.效益指标得分情况</w:t>
      </w:r>
    </w:p>
    <w:tbl>
      <w:tblPr>
        <w:tblStyle w:val="30"/>
        <w:tblW w:w="48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544"/>
        <w:gridCol w:w="2306"/>
        <w:gridCol w:w="992"/>
        <w:gridCol w:w="881"/>
        <w:gridCol w:w="1131"/>
      </w:tblGrid>
      <w:tr w14:paraId="0084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28" w:type="pct"/>
            <w:noWrap w:val="0"/>
            <w:vAlign w:val="center"/>
          </w:tcPr>
          <w:p w14:paraId="43FAA082">
            <w:pPr>
              <w:shd w:val="clear" w:color="auto" w:fill="FFFFFF" w:themeFill="background1"/>
              <w:spacing w:line="580" w:lineRule="exact"/>
              <w:rPr>
                <w:rFonts w:ascii="仿宋" w:hAnsi="仿宋" w:cs="仿宋"/>
                <w:b/>
                <w:bCs/>
                <w:sz w:val="24"/>
              </w:rPr>
            </w:pPr>
            <w:r>
              <w:rPr>
                <w:rFonts w:hint="eastAsia" w:ascii="仿宋" w:hAnsi="仿宋" w:cs="仿宋"/>
                <w:b/>
                <w:bCs/>
                <w:sz w:val="24"/>
              </w:rPr>
              <w:t>一级指标</w:t>
            </w:r>
          </w:p>
        </w:tc>
        <w:tc>
          <w:tcPr>
            <w:tcW w:w="940" w:type="pct"/>
            <w:noWrap w:val="0"/>
            <w:vAlign w:val="center"/>
          </w:tcPr>
          <w:p w14:paraId="576B66A0">
            <w:pPr>
              <w:shd w:val="clear" w:color="auto" w:fill="FFFFFF" w:themeFill="background1"/>
              <w:spacing w:line="580" w:lineRule="exact"/>
              <w:rPr>
                <w:rFonts w:ascii="仿宋" w:hAnsi="仿宋" w:cs="仿宋"/>
                <w:b/>
                <w:bCs/>
                <w:sz w:val="24"/>
              </w:rPr>
            </w:pPr>
            <w:r>
              <w:rPr>
                <w:rFonts w:hint="eastAsia" w:ascii="仿宋" w:hAnsi="仿宋" w:cs="仿宋"/>
                <w:b/>
                <w:bCs/>
                <w:sz w:val="24"/>
              </w:rPr>
              <w:t>二级指标</w:t>
            </w:r>
          </w:p>
        </w:tc>
        <w:tc>
          <w:tcPr>
            <w:tcW w:w="1404" w:type="pct"/>
            <w:noWrap w:val="0"/>
            <w:vAlign w:val="center"/>
          </w:tcPr>
          <w:p w14:paraId="3A7EE5E8">
            <w:pPr>
              <w:shd w:val="clear" w:color="auto" w:fill="FFFFFF" w:themeFill="background1"/>
              <w:spacing w:line="580" w:lineRule="exact"/>
              <w:rPr>
                <w:rFonts w:ascii="仿宋" w:hAnsi="仿宋" w:cs="仿宋"/>
                <w:b/>
                <w:bCs/>
                <w:sz w:val="24"/>
              </w:rPr>
            </w:pPr>
            <w:r>
              <w:rPr>
                <w:rFonts w:hint="eastAsia" w:ascii="仿宋" w:hAnsi="仿宋" w:cs="仿宋"/>
                <w:b/>
                <w:bCs/>
                <w:sz w:val="24"/>
              </w:rPr>
              <w:t>三级指标</w:t>
            </w:r>
          </w:p>
        </w:tc>
        <w:tc>
          <w:tcPr>
            <w:tcW w:w="604" w:type="pct"/>
            <w:noWrap w:val="0"/>
            <w:vAlign w:val="center"/>
          </w:tcPr>
          <w:p w14:paraId="1F7649F9">
            <w:pPr>
              <w:shd w:val="clear" w:color="auto" w:fill="FFFFFF" w:themeFill="background1"/>
              <w:spacing w:line="580" w:lineRule="exact"/>
              <w:rPr>
                <w:rFonts w:ascii="仿宋" w:hAnsi="仿宋" w:cs="仿宋"/>
                <w:b/>
                <w:bCs/>
                <w:sz w:val="24"/>
              </w:rPr>
            </w:pPr>
            <w:r>
              <w:rPr>
                <w:rFonts w:hint="eastAsia" w:ascii="仿宋" w:hAnsi="仿宋" w:cs="仿宋"/>
                <w:b/>
                <w:bCs/>
                <w:sz w:val="24"/>
              </w:rPr>
              <w:t>分值</w:t>
            </w:r>
          </w:p>
        </w:tc>
        <w:tc>
          <w:tcPr>
            <w:tcW w:w="536" w:type="pct"/>
            <w:noWrap w:val="0"/>
            <w:vAlign w:val="center"/>
          </w:tcPr>
          <w:p w14:paraId="0B0F5B13">
            <w:pPr>
              <w:shd w:val="clear" w:color="auto" w:fill="FFFFFF" w:themeFill="background1"/>
              <w:spacing w:line="580" w:lineRule="exact"/>
              <w:rPr>
                <w:rFonts w:ascii="仿宋" w:hAnsi="仿宋" w:cs="仿宋"/>
                <w:b/>
                <w:bCs/>
                <w:sz w:val="24"/>
              </w:rPr>
            </w:pPr>
            <w:r>
              <w:rPr>
                <w:rFonts w:hint="eastAsia" w:ascii="仿宋" w:hAnsi="仿宋" w:cs="仿宋"/>
                <w:b/>
                <w:bCs/>
                <w:sz w:val="24"/>
              </w:rPr>
              <w:t>得分</w:t>
            </w:r>
          </w:p>
        </w:tc>
        <w:tc>
          <w:tcPr>
            <w:tcW w:w="688" w:type="pct"/>
            <w:noWrap w:val="0"/>
            <w:vAlign w:val="center"/>
          </w:tcPr>
          <w:p w14:paraId="2320DAE1">
            <w:pPr>
              <w:shd w:val="clear" w:color="auto" w:fill="FFFFFF" w:themeFill="background1"/>
              <w:spacing w:line="580" w:lineRule="exact"/>
              <w:rPr>
                <w:rFonts w:ascii="仿宋" w:hAnsi="仿宋" w:cs="仿宋"/>
                <w:b/>
                <w:bCs/>
                <w:sz w:val="24"/>
              </w:rPr>
            </w:pPr>
            <w:r>
              <w:rPr>
                <w:rFonts w:hint="eastAsia" w:ascii="仿宋" w:hAnsi="仿宋" w:cs="仿宋"/>
                <w:b/>
                <w:bCs/>
                <w:sz w:val="24"/>
              </w:rPr>
              <w:t>得分率</w:t>
            </w:r>
          </w:p>
        </w:tc>
      </w:tr>
      <w:tr w14:paraId="0399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pct"/>
            <w:vMerge w:val="restart"/>
            <w:noWrap w:val="0"/>
            <w:vAlign w:val="center"/>
          </w:tcPr>
          <w:p w14:paraId="75A0C913">
            <w:pPr>
              <w:shd w:val="clear" w:color="auto" w:fill="FFFFFF" w:themeFill="background1"/>
              <w:spacing w:line="580" w:lineRule="exact"/>
              <w:rPr>
                <w:rFonts w:ascii="仿宋" w:hAnsi="仿宋" w:cs="仿宋"/>
                <w:sz w:val="24"/>
              </w:rPr>
            </w:pPr>
            <w:r>
              <w:rPr>
                <w:rFonts w:hint="eastAsia" w:ascii="仿宋" w:hAnsi="仿宋" w:cs="仿宋"/>
                <w:sz w:val="24"/>
              </w:rPr>
              <w:t>效益</w:t>
            </w:r>
            <w:r>
              <w:rPr>
                <w:rFonts w:hint="eastAsia" w:ascii="仿宋" w:hAnsi="仿宋"/>
                <w:sz w:val="24"/>
              </w:rPr>
              <w:t>（30）</w:t>
            </w:r>
          </w:p>
        </w:tc>
        <w:tc>
          <w:tcPr>
            <w:tcW w:w="940" w:type="pct"/>
            <w:noWrap w:val="0"/>
            <w:vAlign w:val="center"/>
          </w:tcPr>
          <w:p w14:paraId="6916244B">
            <w:pPr>
              <w:shd w:val="clear" w:color="auto" w:fill="FFFFFF" w:themeFill="background1"/>
              <w:spacing w:line="580" w:lineRule="exact"/>
              <w:rPr>
                <w:rFonts w:ascii="仿宋" w:hAnsi="仿宋" w:cs="仿宋"/>
                <w:sz w:val="24"/>
              </w:rPr>
            </w:pPr>
            <w:r>
              <w:rPr>
                <w:rFonts w:hint="eastAsia" w:ascii="仿宋" w:hAnsi="仿宋" w:cs="仿宋"/>
                <w:sz w:val="24"/>
              </w:rPr>
              <w:t>经济效益（10）</w:t>
            </w:r>
          </w:p>
        </w:tc>
        <w:tc>
          <w:tcPr>
            <w:tcW w:w="1404" w:type="pct"/>
            <w:noWrap w:val="0"/>
          </w:tcPr>
          <w:p w14:paraId="1B30E5EB">
            <w:pPr>
              <w:shd w:val="clear" w:color="auto" w:fill="FFFFFF" w:themeFill="background1"/>
              <w:spacing w:line="580" w:lineRule="exact"/>
              <w:rPr>
                <w:rFonts w:ascii="仿宋" w:hAnsi="仿宋" w:cs="仿宋"/>
                <w:sz w:val="24"/>
              </w:rPr>
            </w:pPr>
            <w:r>
              <w:rPr>
                <w:rFonts w:hint="eastAsia" w:ascii="仿宋" w:hAnsi="仿宋" w:cs="仿宋"/>
                <w:sz w:val="24"/>
              </w:rPr>
              <w:t>达到智慧城市与数字政府融合推进</w:t>
            </w:r>
          </w:p>
        </w:tc>
        <w:tc>
          <w:tcPr>
            <w:tcW w:w="604" w:type="pct"/>
            <w:noWrap w:val="0"/>
            <w:vAlign w:val="center"/>
          </w:tcPr>
          <w:p w14:paraId="2A66F897">
            <w:pPr>
              <w:shd w:val="clear" w:color="auto" w:fill="FFFFFF" w:themeFill="background1"/>
              <w:spacing w:line="580" w:lineRule="exact"/>
              <w:rPr>
                <w:rFonts w:ascii="Arial Narrow" w:hAnsi="Arial Narrow" w:cs="Arial"/>
                <w:sz w:val="24"/>
              </w:rPr>
            </w:pPr>
            <w:r>
              <w:rPr>
                <w:rFonts w:hint="eastAsia" w:ascii="Arial Narrow" w:hAnsi="Arial Narrow" w:cs="Arial"/>
                <w:sz w:val="24"/>
              </w:rPr>
              <w:t>10</w:t>
            </w:r>
          </w:p>
        </w:tc>
        <w:tc>
          <w:tcPr>
            <w:tcW w:w="536" w:type="pct"/>
            <w:noWrap/>
            <w:vAlign w:val="center"/>
          </w:tcPr>
          <w:p w14:paraId="76BC3CC8">
            <w:pPr>
              <w:shd w:val="clear" w:color="auto" w:fill="FFFFFF" w:themeFill="background1"/>
              <w:spacing w:line="580" w:lineRule="exact"/>
              <w:rPr>
                <w:rFonts w:ascii="Arial Narrow" w:hAnsi="Arial Narrow" w:cs="Arial"/>
                <w:sz w:val="24"/>
              </w:rPr>
            </w:pPr>
            <w:r>
              <w:rPr>
                <w:rFonts w:hint="eastAsia" w:ascii="Arial Narrow" w:hAnsi="Arial Narrow" w:cs="Arial"/>
                <w:sz w:val="24"/>
              </w:rPr>
              <w:t>10</w:t>
            </w:r>
          </w:p>
        </w:tc>
        <w:tc>
          <w:tcPr>
            <w:tcW w:w="688" w:type="pct"/>
            <w:noWrap/>
            <w:vAlign w:val="center"/>
          </w:tcPr>
          <w:p w14:paraId="48B881F1">
            <w:pPr>
              <w:shd w:val="clear" w:color="auto" w:fill="FFFFFF" w:themeFill="background1"/>
              <w:spacing w:line="580" w:lineRule="exact"/>
              <w:rPr>
                <w:rFonts w:ascii="Arial Narrow" w:hAnsi="Arial Narrow" w:cs="Arial"/>
                <w:sz w:val="24"/>
              </w:rPr>
            </w:pPr>
            <w:r>
              <w:rPr>
                <w:rFonts w:hint="eastAsia" w:ascii="Arial Narrow" w:hAnsi="Arial Narrow" w:cs="Arial"/>
                <w:sz w:val="24"/>
              </w:rPr>
              <w:t>100</w:t>
            </w:r>
            <w:r>
              <w:rPr>
                <w:rFonts w:ascii="Arial Narrow" w:hAnsi="Arial Narrow" w:cs="Arial"/>
                <w:sz w:val="24"/>
              </w:rPr>
              <w:t>%</w:t>
            </w:r>
          </w:p>
        </w:tc>
      </w:tr>
      <w:tr w14:paraId="66C7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pct"/>
            <w:vMerge w:val="continue"/>
            <w:noWrap w:val="0"/>
            <w:vAlign w:val="center"/>
          </w:tcPr>
          <w:p w14:paraId="0B02F7BA">
            <w:pPr>
              <w:shd w:val="clear" w:color="auto" w:fill="FFFFFF" w:themeFill="background1"/>
              <w:spacing w:line="580" w:lineRule="exact"/>
              <w:ind w:firstLine="480"/>
              <w:rPr>
                <w:rFonts w:ascii="仿宋" w:hAnsi="仿宋" w:cs="仿宋"/>
                <w:sz w:val="24"/>
              </w:rPr>
            </w:pPr>
          </w:p>
        </w:tc>
        <w:tc>
          <w:tcPr>
            <w:tcW w:w="940" w:type="pct"/>
            <w:noWrap w:val="0"/>
            <w:vAlign w:val="center"/>
          </w:tcPr>
          <w:p w14:paraId="119D79A8">
            <w:pPr>
              <w:shd w:val="clear" w:color="auto" w:fill="FFFFFF" w:themeFill="background1"/>
              <w:spacing w:line="580" w:lineRule="exact"/>
              <w:rPr>
                <w:rFonts w:ascii="仿宋" w:hAnsi="仿宋" w:cs="仿宋"/>
                <w:sz w:val="24"/>
              </w:rPr>
            </w:pPr>
            <w:r>
              <w:rPr>
                <w:rFonts w:hint="eastAsia" w:ascii="仿宋" w:hAnsi="仿宋" w:cs="仿宋"/>
                <w:sz w:val="24"/>
              </w:rPr>
              <w:t>社会效益（10）</w:t>
            </w:r>
          </w:p>
        </w:tc>
        <w:tc>
          <w:tcPr>
            <w:tcW w:w="1404" w:type="pct"/>
            <w:noWrap w:val="0"/>
          </w:tcPr>
          <w:p w14:paraId="3F6F400E">
            <w:pPr>
              <w:shd w:val="clear" w:color="auto" w:fill="FFFFFF" w:themeFill="background1"/>
              <w:spacing w:line="580" w:lineRule="exact"/>
              <w:rPr>
                <w:rFonts w:ascii="仿宋" w:hAnsi="仿宋" w:cs="仿宋"/>
                <w:sz w:val="24"/>
              </w:rPr>
            </w:pPr>
            <w:r>
              <w:rPr>
                <w:rFonts w:hint="eastAsia" w:ascii="仿宋" w:hAnsi="仿宋" w:cs="仿宋"/>
                <w:sz w:val="24"/>
              </w:rPr>
              <w:t>实现各职能部门资源共享</w:t>
            </w:r>
          </w:p>
        </w:tc>
        <w:tc>
          <w:tcPr>
            <w:tcW w:w="604" w:type="pct"/>
            <w:noWrap w:val="0"/>
            <w:vAlign w:val="center"/>
          </w:tcPr>
          <w:p w14:paraId="1322FA37">
            <w:pPr>
              <w:shd w:val="clear" w:color="auto" w:fill="FFFFFF" w:themeFill="background1"/>
              <w:spacing w:line="580" w:lineRule="exact"/>
              <w:rPr>
                <w:rFonts w:ascii="Arial Narrow" w:hAnsi="Arial Narrow" w:cs="Arial"/>
                <w:sz w:val="24"/>
              </w:rPr>
            </w:pPr>
            <w:r>
              <w:rPr>
                <w:rFonts w:hint="eastAsia" w:ascii="Arial Narrow" w:hAnsi="Arial Narrow" w:cs="Arial"/>
                <w:sz w:val="24"/>
              </w:rPr>
              <w:t>10</w:t>
            </w:r>
          </w:p>
        </w:tc>
        <w:tc>
          <w:tcPr>
            <w:tcW w:w="536" w:type="pct"/>
            <w:noWrap/>
            <w:vAlign w:val="center"/>
          </w:tcPr>
          <w:p w14:paraId="1940F02A">
            <w:pPr>
              <w:shd w:val="clear" w:color="auto" w:fill="FFFFFF" w:themeFill="background1"/>
              <w:spacing w:line="580" w:lineRule="exact"/>
              <w:rPr>
                <w:rFonts w:ascii="Arial Narrow" w:hAnsi="Arial Narrow" w:cs="Arial"/>
                <w:sz w:val="24"/>
              </w:rPr>
            </w:pPr>
            <w:r>
              <w:rPr>
                <w:rFonts w:hint="eastAsia" w:ascii="Arial Narrow" w:hAnsi="Arial Narrow" w:cs="Arial"/>
                <w:sz w:val="24"/>
              </w:rPr>
              <w:t>10</w:t>
            </w:r>
          </w:p>
        </w:tc>
        <w:tc>
          <w:tcPr>
            <w:tcW w:w="688" w:type="pct"/>
            <w:noWrap/>
            <w:vAlign w:val="center"/>
          </w:tcPr>
          <w:p w14:paraId="3F258044">
            <w:pPr>
              <w:shd w:val="clear" w:color="auto" w:fill="FFFFFF" w:themeFill="background1"/>
              <w:spacing w:line="580" w:lineRule="exact"/>
              <w:rPr>
                <w:rFonts w:ascii="Arial Narrow" w:hAnsi="Arial Narrow" w:cs="Arial"/>
                <w:sz w:val="24"/>
              </w:rPr>
            </w:pPr>
            <w:r>
              <w:rPr>
                <w:rFonts w:hint="eastAsia" w:ascii="Arial Narrow" w:hAnsi="Arial Narrow" w:cs="Arial"/>
                <w:sz w:val="24"/>
              </w:rPr>
              <w:t>100</w:t>
            </w:r>
            <w:r>
              <w:rPr>
                <w:rFonts w:ascii="Arial Narrow" w:hAnsi="Arial Narrow" w:cs="Arial"/>
                <w:sz w:val="24"/>
              </w:rPr>
              <w:t>%</w:t>
            </w:r>
          </w:p>
        </w:tc>
      </w:tr>
      <w:tr w14:paraId="62D7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pct"/>
            <w:vMerge w:val="continue"/>
            <w:noWrap w:val="0"/>
            <w:vAlign w:val="center"/>
          </w:tcPr>
          <w:p w14:paraId="0A407D94">
            <w:pPr>
              <w:shd w:val="clear" w:color="auto" w:fill="FFFFFF" w:themeFill="background1"/>
              <w:spacing w:line="580" w:lineRule="exact"/>
              <w:ind w:firstLine="480"/>
              <w:rPr>
                <w:rFonts w:ascii="仿宋" w:hAnsi="仿宋" w:cs="仿宋"/>
                <w:sz w:val="24"/>
              </w:rPr>
            </w:pPr>
          </w:p>
        </w:tc>
        <w:tc>
          <w:tcPr>
            <w:tcW w:w="940" w:type="pct"/>
            <w:noWrap w:val="0"/>
            <w:vAlign w:val="center"/>
          </w:tcPr>
          <w:p w14:paraId="0CDD2BC2">
            <w:pPr>
              <w:shd w:val="clear" w:color="auto" w:fill="FFFFFF" w:themeFill="background1"/>
              <w:spacing w:line="580" w:lineRule="exact"/>
              <w:rPr>
                <w:rFonts w:ascii="仿宋" w:hAnsi="仿宋" w:cs="仿宋"/>
                <w:sz w:val="24"/>
              </w:rPr>
            </w:pPr>
            <w:r>
              <w:rPr>
                <w:rFonts w:hint="eastAsia" w:ascii="仿宋" w:hAnsi="仿宋" w:cs="仿宋"/>
                <w:sz w:val="24"/>
              </w:rPr>
              <w:t>生态效益（10）</w:t>
            </w:r>
          </w:p>
        </w:tc>
        <w:tc>
          <w:tcPr>
            <w:tcW w:w="1404" w:type="pct"/>
            <w:noWrap w:val="0"/>
          </w:tcPr>
          <w:p w14:paraId="4BB9B3A8">
            <w:pPr>
              <w:shd w:val="clear" w:color="auto" w:fill="FFFFFF" w:themeFill="background1"/>
              <w:spacing w:line="580" w:lineRule="exact"/>
              <w:rPr>
                <w:rFonts w:ascii="仿宋" w:hAnsi="仿宋" w:cs="仿宋"/>
                <w:sz w:val="24"/>
              </w:rPr>
            </w:pPr>
            <w:r>
              <w:rPr>
                <w:rFonts w:hint="eastAsia" w:ascii="仿宋" w:hAnsi="仿宋" w:cs="仿宋"/>
                <w:sz w:val="24"/>
              </w:rPr>
              <w:t>达到国家和行业标准要求</w:t>
            </w:r>
          </w:p>
        </w:tc>
        <w:tc>
          <w:tcPr>
            <w:tcW w:w="604" w:type="pct"/>
            <w:noWrap w:val="0"/>
            <w:vAlign w:val="center"/>
          </w:tcPr>
          <w:p w14:paraId="21CFA93E">
            <w:pPr>
              <w:shd w:val="clear" w:color="auto" w:fill="FFFFFF" w:themeFill="background1"/>
              <w:spacing w:line="580" w:lineRule="exact"/>
              <w:rPr>
                <w:rFonts w:ascii="Arial Narrow" w:hAnsi="Arial Narrow" w:cs="Arial"/>
                <w:sz w:val="24"/>
              </w:rPr>
            </w:pPr>
            <w:r>
              <w:rPr>
                <w:rFonts w:hint="eastAsia" w:ascii="Arial Narrow" w:hAnsi="Arial Narrow" w:cs="Arial"/>
                <w:sz w:val="24"/>
              </w:rPr>
              <w:t>10</w:t>
            </w:r>
          </w:p>
        </w:tc>
        <w:tc>
          <w:tcPr>
            <w:tcW w:w="536" w:type="pct"/>
            <w:noWrap/>
            <w:vAlign w:val="center"/>
          </w:tcPr>
          <w:p w14:paraId="0AD0F77C">
            <w:pPr>
              <w:shd w:val="clear" w:color="auto" w:fill="FFFFFF" w:themeFill="background1"/>
              <w:spacing w:line="580" w:lineRule="exact"/>
              <w:rPr>
                <w:rFonts w:ascii="Arial Narrow" w:hAnsi="Arial Narrow" w:cs="Arial"/>
                <w:sz w:val="24"/>
              </w:rPr>
            </w:pPr>
            <w:r>
              <w:rPr>
                <w:rFonts w:hint="eastAsia" w:ascii="Arial Narrow" w:hAnsi="Arial Narrow" w:cs="Arial"/>
                <w:sz w:val="24"/>
              </w:rPr>
              <w:t>10</w:t>
            </w:r>
          </w:p>
        </w:tc>
        <w:tc>
          <w:tcPr>
            <w:tcW w:w="688" w:type="pct"/>
            <w:noWrap/>
            <w:vAlign w:val="center"/>
          </w:tcPr>
          <w:p w14:paraId="22F75F7F">
            <w:pPr>
              <w:shd w:val="clear" w:color="auto" w:fill="FFFFFF" w:themeFill="background1"/>
              <w:spacing w:line="580" w:lineRule="exact"/>
              <w:rPr>
                <w:rFonts w:ascii="Arial Narrow" w:hAnsi="Arial Narrow" w:cs="Arial"/>
                <w:sz w:val="24"/>
              </w:rPr>
            </w:pPr>
            <w:r>
              <w:rPr>
                <w:rFonts w:hint="eastAsia" w:ascii="Arial Narrow" w:hAnsi="Arial Narrow" w:cs="Arial"/>
                <w:sz w:val="24"/>
              </w:rPr>
              <w:t>100</w:t>
            </w:r>
            <w:r>
              <w:rPr>
                <w:rFonts w:ascii="Arial Narrow" w:hAnsi="Arial Narrow" w:cs="Arial"/>
                <w:sz w:val="24"/>
              </w:rPr>
              <w:t>%</w:t>
            </w:r>
          </w:p>
        </w:tc>
      </w:tr>
      <w:tr w14:paraId="6B67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72" w:type="pct"/>
            <w:gridSpan w:val="3"/>
            <w:noWrap w:val="0"/>
            <w:vAlign w:val="center"/>
          </w:tcPr>
          <w:p w14:paraId="2C36D4B1">
            <w:pPr>
              <w:shd w:val="clear" w:color="auto" w:fill="FFFFFF" w:themeFill="background1"/>
              <w:spacing w:line="580" w:lineRule="exact"/>
              <w:ind w:firstLine="482"/>
              <w:rPr>
                <w:rFonts w:ascii="仿宋" w:hAnsi="仿宋" w:cs="仿宋"/>
                <w:b/>
                <w:bCs/>
                <w:sz w:val="24"/>
              </w:rPr>
            </w:pPr>
            <w:r>
              <w:rPr>
                <w:rFonts w:hint="eastAsia" w:ascii="仿宋" w:hAnsi="仿宋" w:cs="仿宋"/>
                <w:b/>
                <w:bCs/>
                <w:sz w:val="24"/>
              </w:rPr>
              <w:t>小    计</w:t>
            </w:r>
          </w:p>
        </w:tc>
        <w:tc>
          <w:tcPr>
            <w:tcW w:w="604" w:type="pct"/>
            <w:noWrap w:val="0"/>
            <w:vAlign w:val="center"/>
          </w:tcPr>
          <w:p w14:paraId="44434C68">
            <w:pPr>
              <w:shd w:val="clear" w:color="auto" w:fill="FFFFFF" w:themeFill="background1"/>
              <w:spacing w:line="580" w:lineRule="exact"/>
              <w:rPr>
                <w:rFonts w:ascii="Arial Narrow" w:hAnsi="Arial Narrow" w:cs="Arial"/>
                <w:b/>
                <w:bCs/>
                <w:sz w:val="24"/>
              </w:rPr>
            </w:pPr>
            <w:r>
              <w:rPr>
                <w:rFonts w:hint="eastAsia" w:ascii="Arial Narrow" w:hAnsi="Arial Narrow" w:cs="Arial"/>
                <w:sz w:val="24"/>
              </w:rPr>
              <w:t>30</w:t>
            </w:r>
          </w:p>
        </w:tc>
        <w:tc>
          <w:tcPr>
            <w:tcW w:w="536" w:type="pct"/>
            <w:noWrap w:val="0"/>
            <w:vAlign w:val="center"/>
          </w:tcPr>
          <w:p w14:paraId="0010BAF1">
            <w:pPr>
              <w:shd w:val="clear" w:color="auto" w:fill="FFFFFF" w:themeFill="background1"/>
              <w:spacing w:line="580" w:lineRule="exact"/>
              <w:rPr>
                <w:rFonts w:ascii="Arial Narrow" w:hAnsi="Arial Narrow" w:cs="Arial"/>
                <w:b/>
                <w:bCs/>
                <w:sz w:val="24"/>
              </w:rPr>
            </w:pPr>
            <w:r>
              <w:rPr>
                <w:rFonts w:hint="eastAsia" w:ascii="Arial Narrow" w:hAnsi="Arial Narrow" w:cs="Arial"/>
                <w:b/>
                <w:bCs/>
                <w:sz w:val="24"/>
              </w:rPr>
              <w:t>30</w:t>
            </w:r>
          </w:p>
        </w:tc>
        <w:tc>
          <w:tcPr>
            <w:tcW w:w="688" w:type="pct"/>
            <w:noWrap/>
            <w:vAlign w:val="center"/>
          </w:tcPr>
          <w:p w14:paraId="3E70DDDD">
            <w:pPr>
              <w:shd w:val="clear" w:color="auto" w:fill="FFFFFF" w:themeFill="background1"/>
              <w:spacing w:line="580" w:lineRule="exact"/>
              <w:rPr>
                <w:rFonts w:ascii="Arial Narrow" w:hAnsi="Arial Narrow" w:cs="Arial"/>
                <w:b/>
                <w:bCs/>
                <w:sz w:val="24"/>
              </w:rPr>
            </w:pPr>
            <w:r>
              <w:rPr>
                <w:rFonts w:hint="eastAsia" w:ascii="Arial Narrow" w:hAnsi="Arial Narrow" w:cs="Arial"/>
                <w:sz w:val="24"/>
              </w:rPr>
              <w:t>100</w:t>
            </w:r>
            <w:r>
              <w:rPr>
                <w:rFonts w:ascii="Arial Narrow" w:hAnsi="Arial Narrow" w:cs="Arial"/>
                <w:sz w:val="24"/>
              </w:rPr>
              <w:t>%</w:t>
            </w:r>
          </w:p>
        </w:tc>
      </w:tr>
    </w:tbl>
    <w:p w14:paraId="30065D15">
      <w:pPr>
        <w:spacing w:before="211"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3.产出指标分析（指标分值10分，得分10分）</w:t>
      </w:r>
    </w:p>
    <w:p w14:paraId="06EEE299">
      <w:pPr>
        <w:spacing w:before="211"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产出指标从产出数量、成本目标、产出质量和产出时效四个方面考察项目产出实现情况。该项目产出数量与预算基本一致，成本目标和产出质量实现较好，但存在平台建设质量问题及设备质量问题，本项应得分10分，扣10分，评价得分10分，得分率100%。</w:t>
      </w:r>
    </w:p>
    <w:p w14:paraId="3EA4E249">
      <w:pPr>
        <w:shd w:val="clear" w:color="auto" w:fill="FFFFFF" w:themeFill="background1"/>
        <w:spacing w:before="156" w:after="156" w:line="580" w:lineRule="exact"/>
        <w:ind w:firstLine="640"/>
        <w:rPr>
          <w:rFonts w:ascii="仿宋" w:hAnsi="仿宋"/>
          <w:sz w:val="32"/>
          <w:szCs w:val="32"/>
        </w:rPr>
      </w:pPr>
      <w:r>
        <w:rPr>
          <w:rFonts w:hint="eastAsia" w:ascii="仿宋" w:hAnsi="仿宋"/>
          <w:sz w:val="32"/>
          <w:szCs w:val="32"/>
        </w:rPr>
        <w:t>表3.满意度指标得分情况</w:t>
      </w:r>
    </w:p>
    <w:tbl>
      <w:tblPr>
        <w:tblStyle w:val="3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8"/>
        <w:gridCol w:w="2605"/>
        <w:gridCol w:w="795"/>
        <w:gridCol w:w="885"/>
        <w:gridCol w:w="1243"/>
      </w:tblGrid>
      <w:tr w14:paraId="10F3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276" w:type="dxa"/>
            <w:tcBorders>
              <w:top w:val="single" w:color="auto" w:sz="4" w:space="0"/>
              <w:left w:val="single" w:color="auto" w:sz="4" w:space="0"/>
              <w:bottom w:val="single" w:color="auto" w:sz="4" w:space="0"/>
              <w:right w:val="single" w:color="auto" w:sz="4" w:space="0"/>
            </w:tcBorders>
            <w:noWrap/>
            <w:vAlign w:val="center"/>
          </w:tcPr>
          <w:p w14:paraId="37D1CEEF">
            <w:pPr>
              <w:shd w:val="clear" w:color="auto" w:fill="FFFFFF"/>
              <w:spacing w:line="580" w:lineRule="exact"/>
              <w:rPr>
                <w:rFonts w:ascii="仿宋" w:hAnsi="仿宋" w:cs="仿宋"/>
                <w:b/>
                <w:color w:val="000000"/>
                <w:sz w:val="24"/>
              </w:rPr>
            </w:pPr>
            <w:r>
              <w:rPr>
                <w:rFonts w:hint="eastAsia" w:ascii="仿宋" w:hAnsi="仿宋" w:cs="仿宋"/>
                <w:b/>
                <w:color w:val="000000"/>
                <w:sz w:val="24"/>
                <w:szCs w:val="24"/>
              </w:rPr>
              <w:t>一级指标</w:t>
            </w:r>
          </w:p>
        </w:tc>
        <w:tc>
          <w:tcPr>
            <w:tcW w:w="1418" w:type="dxa"/>
            <w:tcBorders>
              <w:top w:val="single" w:color="auto" w:sz="4" w:space="0"/>
              <w:left w:val="single" w:color="auto" w:sz="4" w:space="0"/>
              <w:bottom w:val="single" w:color="auto" w:sz="4" w:space="0"/>
              <w:right w:val="single" w:color="auto" w:sz="4" w:space="0"/>
            </w:tcBorders>
            <w:noWrap/>
            <w:vAlign w:val="center"/>
          </w:tcPr>
          <w:p w14:paraId="0D4959F2">
            <w:pPr>
              <w:shd w:val="clear" w:color="auto" w:fill="FFFFFF"/>
              <w:spacing w:line="580" w:lineRule="exact"/>
              <w:rPr>
                <w:rFonts w:ascii="仿宋" w:hAnsi="仿宋" w:cs="仿宋"/>
                <w:b/>
                <w:color w:val="000000"/>
                <w:sz w:val="24"/>
              </w:rPr>
            </w:pPr>
            <w:r>
              <w:rPr>
                <w:rFonts w:hint="eastAsia" w:ascii="仿宋" w:hAnsi="仿宋" w:cs="仿宋"/>
                <w:b/>
                <w:color w:val="000000"/>
                <w:sz w:val="24"/>
                <w:szCs w:val="24"/>
              </w:rPr>
              <w:t>二级指标</w:t>
            </w:r>
          </w:p>
        </w:tc>
        <w:tc>
          <w:tcPr>
            <w:tcW w:w="2605" w:type="dxa"/>
            <w:tcBorders>
              <w:top w:val="single" w:color="auto" w:sz="4" w:space="0"/>
              <w:left w:val="single" w:color="auto" w:sz="4" w:space="0"/>
              <w:bottom w:val="single" w:color="auto" w:sz="4" w:space="0"/>
              <w:right w:val="single" w:color="auto" w:sz="4" w:space="0"/>
            </w:tcBorders>
            <w:noWrap/>
            <w:vAlign w:val="center"/>
          </w:tcPr>
          <w:p w14:paraId="0AFD5B02">
            <w:pPr>
              <w:shd w:val="clear" w:color="auto" w:fill="FFFFFF"/>
              <w:spacing w:line="580" w:lineRule="exact"/>
              <w:rPr>
                <w:rFonts w:ascii="仿宋" w:hAnsi="仿宋" w:cs="仿宋"/>
                <w:b/>
                <w:color w:val="000000"/>
                <w:sz w:val="24"/>
              </w:rPr>
            </w:pPr>
            <w:r>
              <w:rPr>
                <w:rFonts w:hint="eastAsia" w:ascii="仿宋" w:hAnsi="仿宋" w:cs="仿宋"/>
                <w:b/>
                <w:color w:val="000000"/>
                <w:sz w:val="24"/>
                <w:szCs w:val="24"/>
              </w:rPr>
              <w:t>三级指标</w:t>
            </w:r>
          </w:p>
        </w:tc>
        <w:tc>
          <w:tcPr>
            <w:tcW w:w="795" w:type="dxa"/>
            <w:tcBorders>
              <w:top w:val="single" w:color="auto" w:sz="4" w:space="0"/>
              <w:left w:val="single" w:color="auto" w:sz="4" w:space="0"/>
              <w:bottom w:val="single" w:color="auto" w:sz="4" w:space="0"/>
              <w:right w:val="single" w:color="auto" w:sz="4" w:space="0"/>
            </w:tcBorders>
            <w:noWrap/>
            <w:vAlign w:val="center"/>
          </w:tcPr>
          <w:p w14:paraId="7EEAF947">
            <w:pPr>
              <w:shd w:val="clear" w:color="auto" w:fill="FFFFFF"/>
              <w:spacing w:line="580" w:lineRule="exact"/>
              <w:rPr>
                <w:rFonts w:ascii="仿宋" w:hAnsi="仿宋" w:cs="仿宋"/>
                <w:b/>
                <w:color w:val="000000"/>
                <w:sz w:val="24"/>
              </w:rPr>
            </w:pPr>
            <w:r>
              <w:rPr>
                <w:rFonts w:hint="eastAsia" w:ascii="仿宋" w:hAnsi="仿宋" w:cs="仿宋"/>
                <w:b/>
                <w:color w:val="000000"/>
                <w:sz w:val="24"/>
                <w:szCs w:val="24"/>
              </w:rPr>
              <w:t>分值</w:t>
            </w:r>
          </w:p>
        </w:tc>
        <w:tc>
          <w:tcPr>
            <w:tcW w:w="885" w:type="dxa"/>
            <w:tcBorders>
              <w:top w:val="single" w:color="auto" w:sz="4" w:space="0"/>
              <w:left w:val="single" w:color="auto" w:sz="4" w:space="0"/>
              <w:bottom w:val="single" w:color="auto" w:sz="4" w:space="0"/>
              <w:right w:val="single" w:color="auto" w:sz="4" w:space="0"/>
            </w:tcBorders>
            <w:noWrap/>
            <w:vAlign w:val="center"/>
          </w:tcPr>
          <w:p w14:paraId="16AEEFB8">
            <w:pPr>
              <w:shd w:val="clear" w:color="auto" w:fill="FFFFFF"/>
              <w:spacing w:line="580" w:lineRule="exact"/>
              <w:rPr>
                <w:rFonts w:ascii="仿宋" w:hAnsi="仿宋" w:cs="仿宋"/>
                <w:b/>
                <w:color w:val="000000"/>
                <w:sz w:val="24"/>
              </w:rPr>
            </w:pPr>
            <w:r>
              <w:rPr>
                <w:rFonts w:hint="eastAsia" w:ascii="仿宋" w:hAnsi="仿宋" w:cs="仿宋"/>
                <w:b/>
                <w:color w:val="000000"/>
                <w:sz w:val="24"/>
                <w:szCs w:val="24"/>
              </w:rPr>
              <w:t>得分</w:t>
            </w:r>
          </w:p>
        </w:tc>
        <w:tc>
          <w:tcPr>
            <w:tcW w:w="1243" w:type="dxa"/>
            <w:tcBorders>
              <w:top w:val="single" w:color="auto" w:sz="4" w:space="0"/>
              <w:left w:val="single" w:color="auto" w:sz="4" w:space="0"/>
              <w:bottom w:val="single" w:color="auto" w:sz="4" w:space="0"/>
              <w:right w:val="single" w:color="auto" w:sz="4" w:space="0"/>
            </w:tcBorders>
            <w:noWrap/>
            <w:vAlign w:val="center"/>
          </w:tcPr>
          <w:p w14:paraId="2963F7C6">
            <w:pPr>
              <w:shd w:val="clear" w:color="auto" w:fill="FFFFFF"/>
              <w:spacing w:line="580" w:lineRule="exact"/>
              <w:rPr>
                <w:rFonts w:ascii="仿宋" w:hAnsi="仿宋" w:cs="仿宋"/>
                <w:b/>
                <w:color w:val="000000"/>
                <w:sz w:val="24"/>
              </w:rPr>
            </w:pPr>
            <w:r>
              <w:rPr>
                <w:rFonts w:hint="eastAsia" w:ascii="仿宋" w:hAnsi="仿宋" w:cs="仿宋"/>
                <w:b/>
                <w:color w:val="000000"/>
                <w:sz w:val="24"/>
                <w:szCs w:val="24"/>
              </w:rPr>
              <w:t>得分率</w:t>
            </w:r>
          </w:p>
        </w:tc>
      </w:tr>
      <w:tr w14:paraId="1CF3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76"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14DA3396">
            <w:pPr>
              <w:shd w:val="clear" w:color="auto" w:fill="FFFFFF"/>
              <w:spacing w:line="580" w:lineRule="exact"/>
              <w:rPr>
                <w:rFonts w:ascii="仿宋" w:hAnsi="仿宋" w:cs="仿宋"/>
                <w:color w:val="000000"/>
                <w:sz w:val="24"/>
                <w:szCs w:val="24"/>
              </w:rPr>
            </w:pPr>
            <w:r>
              <w:rPr>
                <w:rFonts w:hint="eastAsia" w:ascii="仿宋" w:hAnsi="仿宋"/>
                <w:sz w:val="24"/>
                <w:szCs w:val="24"/>
              </w:rPr>
              <w:t>满意度（10）</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68739F97">
            <w:pPr>
              <w:shd w:val="clear" w:color="auto" w:fill="FFFFFF"/>
              <w:spacing w:line="580" w:lineRule="exact"/>
              <w:rPr>
                <w:rFonts w:ascii="仿宋" w:hAnsi="仿宋"/>
                <w:sz w:val="24"/>
                <w:szCs w:val="24"/>
              </w:rPr>
            </w:pPr>
            <w:r>
              <w:rPr>
                <w:rFonts w:hint="eastAsia" w:ascii="仿宋" w:hAnsi="仿宋"/>
                <w:sz w:val="24"/>
                <w:szCs w:val="24"/>
              </w:rPr>
              <w:t>服务对象</w:t>
            </w:r>
          </w:p>
          <w:p w14:paraId="4DAE4E0A">
            <w:pPr>
              <w:shd w:val="clear" w:color="auto" w:fill="FFFFFF"/>
              <w:spacing w:line="580" w:lineRule="exact"/>
              <w:rPr>
                <w:rFonts w:ascii="仿宋" w:hAnsi="仿宋"/>
                <w:sz w:val="24"/>
                <w:szCs w:val="24"/>
              </w:rPr>
            </w:pPr>
            <w:r>
              <w:rPr>
                <w:rFonts w:hint="eastAsia" w:ascii="仿宋" w:hAnsi="仿宋"/>
                <w:sz w:val="24"/>
                <w:szCs w:val="24"/>
              </w:rPr>
              <w:t>满意度指标（10）</w:t>
            </w:r>
          </w:p>
        </w:tc>
        <w:tc>
          <w:tcPr>
            <w:tcW w:w="260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9E73D6">
            <w:pPr>
              <w:shd w:val="clear" w:color="auto" w:fill="FFFFFF"/>
              <w:spacing w:line="580" w:lineRule="exact"/>
              <w:rPr>
                <w:rFonts w:ascii="仿宋" w:hAnsi="仿宋"/>
                <w:sz w:val="24"/>
                <w:szCs w:val="24"/>
              </w:rPr>
            </w:pPr>
            <w:r>
              <w:rPr>
                <w:rFonts w:hint="eastAsia" w:ascii="仿宋" w:hAnsi="仿宋"/>
                <w:sz w:val="24"/>
                <w:szCs w:val="24"/>
              </w:rPr>
              <w:t>达到国家和行业标准要求</w:t>
            </w:r>
          </w:p>
        </w:tc>
        <w:tc>
          <w:tcPr>
            <w:tcW w:w="7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0C20D3">
            <w:pPr>
              <w:shd w:val="clear" w:color="auto" w:fill="FFFFFF"/>
              <w:spacing w:line="580" w:lineRule="exact"/>
              <w:rPr>
                <w:rFonts w:ascii="Arial Narrow" w:hAnsi="Arial Narrow" w:cs="Arial"/>
                <w:color w:val="000000"/>
                <w:sz w:val="24"/>
              </w:rPr>
            </w:pPr>
            <w:r>
              <w:rPr>
                <w:rFonts w:hint="eastAsia" w:ascii="Arial Narrow" w:hAnsi="Arial Narrow" w:cs="Arial"/>
                <w:color w:val="000000"/>
                <w:sz w:val="24"/>
                <w:szCs w:val="24"/>
              </w:rPr>
              <w:t>5</w:t>
            </w:r>
          </w:p>
        </w:tc>
        <w:tc>
          <w:tcPr>
            <w:tcW w:w="885" w:type="dxa"/>
            <w:tcBorders>
              <w:top w:val="single" w:color="auto" w:sz="4" w:space="0"/>
              <w:left w:val="single" w:color="auto" w:sz="4" w:space="0"/>
              <w:bottom w:val="single" w:color="auto" w:sz="4" w:space="0"/>
              <w:right w:val="single" w:color="auto" w:sz="4" w:space="0"/>
            </w:tcBorders>
            <w:noWrap/>
            <w:vAlign w:val="center"/>
          </w:tcPr>
          <w:p w14:paraId="0354584B">
            <w:pPr>
              <w:shd w:val="clear" w:color="auto" w:fill="FFFFFF"/>
              <w:spacing w:line="580" w:lineRule="exact"/>
              <w:rPr>
                <w:rFonts w:ascii="Arial Narrow" w:hAnsi="Arial Narrow" w:cs="Arial"/>
                <w:sz w:val="24"/>
              </w:rPr>
            </w:pPr>
            <w:r>
              <w:rPr>
                <w:rFonts w:hint="eastAsia" w:ascii="Arial Narrow" w:hAnsi="Arial Narrow" w:cs="Arial"/>
                <w:sz w:val="24"/>
                <w:szCs w:val="24"/>
              </w:rPr>
              <w:t>5</w:t>
            </w:r>
          </w:p>
        </w:tc>
        <w:tc>
          <w:tcPr>
            <w:tcW w:w="1243" w:type="dxa"/>
            <w:tcBorders>
              <w:top w:val="single" w:color="auto" w:sz="4" w:space="0"/>
              <w:left w:val="single" w:color="auto" w:sz="4" w:space="0"/>
              <w:bottom w:val="single" w:color="auto" w:sz="4" w:space="0"/>
              <w:right w:val="single" w:color="auto" w:sz="4" w:space="0"/>
            </w:tcBorders>
            <w:noWrap/>
            <w:vAlign w:val="center"/>
          </w:tcPr>
          <w:p w14:paraId="350A3231">
            <w:pPr>
              <w:shd w:val="clear" w:color="auto" w:fill="FFFFFF"/>
              <w:spacing w:line="580" w:lineRule="exact"/>
              <w:rPr>
                <w:rFonts w:ascii="Arial Narrow" w:hAnsi="Arial Narrow" w:cs="Arial"/>
                <w:sz w:val="24"/>
              </w:rPr>
            </w:pPr>
            <w:r>
              <w:rPr>
                <w:rFonts w:hint="eastAsia" w:ascii="Arial Narrow" w:hAnsi="Arial Narrow" w:cs="Arial"/>
                <w:sz w:val="24"/>
                <w:szCs w:val="24"/>
              </w:rPr>
              <w:t>100</w:t>
            </w:r>
            <w:r>
              <w:rPr>
                <w:rFonts w:ascii="Arial Narrow" w:hAnsi="Arial Narrow" w:cs="Arial"/>
                <w:sz w:val="24"/>
                <w:szCs w:val="24"/>
              </w:rPr>
              <w:t>%</w:t>
            </w:r>
          </w:p>
        </w:tc>
      </w:tr>
      <w:tr w14:paraId="74AF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76"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0040DE03">
            <w:pPr>
              <w:shd w:val="clear" w:color="auto" w:fill="FFFFFF"/>
              <w:spacing w:line="580" w:lineRule="exact"/>
              <w:ind w:firstLine="480"/>
              <w:rPr>
                <w:rFonts w:ascii="仿宋" w:hAnsi="仿宋" w:cs="仿宋"/>
                <w:color w:val="000000"/>
                <w:sz w:val="24"/>
              </w:rPr>
            </w:pPr>
          </w:p>
        </w:tc>
        <w:tc>
          <w:tcPr>
            <w:tcW w:w="1418"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31F7F959">
            <w:pPr>
              <w:shd w:val="clear" w:color="auto" w:fill="FFFFFF"/>
              <w:spacing w:line="580" w:lineRule="exact"/>
              <w:ind w:firstLine="480"/>
              <w:rPr>
                <w:rFonts w:ascii="仿宋" w:hAnsi="仿宋" w:cs="仿宋"/>
                <w:color w:val="000000"/>
                <w:sz w:val="24"/>
              </w:rPr>
            </w:pPr>
          </w:p>
        </w:tc>
        <w:tc>
          <w:tcPr>
            <w:tcW w:w="260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F00D2D">
            <w:pPr>
              <w:shd w:val="clear" w:color="auto" w:fill="FFFFFF"/>
              <w:spacing w:line="580" w:lineRule="exact"/>
              <w:rPr>
                <w:rFonts w:ascii="仿宋" w:hAnsi="仿宋"/>
                <w:sz w:val="24"/>
                <w:szCs w:val="24"/>
              </w:rPr>
            </w:pPr>
            <w:r>
              <w:rPr>
                <w:rFonts w:hint="eastAsia" w:ascii="仿宋" w:hAnsi="仿宋"/>
                <w:sz w:val="24"/>
                <w:szCs w:val="24"/>
              </w:rPr>
              <w:t>提高部门、群众满意度</w:t>
            </w:r>
          </w:p>
        </w:tc>
        <w:tc>
          <w:tcPr>
            <w:tcW w:w="7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0D7173">
            <w:pPr>
              <w:shd w:val="clear" w:color="auto" w:fill="FFFFFF"/>
              <w:spacing w:line="580" w:lineRule="exact"/>
              <w:rPr>
                <w:rFonts w:ascii="Arial Narrow" w:hAnsi="Arial Narrow" w:cs="Arial"/>
                <w:color w:val="000000"/>
                <w:sz w:val="24"/>
              </w:rPr>
            </w:pPr>
            <w:r>
              <w:rPr>
                <w:rFonts w:hint="eastAsia" w:ascii="Arial Narrow" w:hAnsi="Arial Narrow" w:cs="Arial"/>
                <w:color w:val="000000"/>
                <w:sz w:val="24"/>
                <w:szCs w:val="24"/>
              </w:rPr>
              <w:t>5</w:t>
            </w:r>
          </w:p>
        </w:tc>
        <w:tc>
          <w:tcPr>
            <w:tcW w:w="885" w:type="dxa"/>
            <w:tcBorders>
              <w:top w:val="single" w:color="auto" w:sz="4" w:space="0"/>
              <w:left w:val="single" w:color="auto" w:sz="4" w:space="0"/>
              <w:bottom w:val="single" w:color="auto" w:sz="4" w:space="0"/>
              <w:right w:val="single" w:color="auto" w:sz="4" w:space="0"/>
            </w:tcBorders>
            <w:noWrap/>
            <w:vAlign w:val="center"/>
          </w:tcPr>
          <w:p w14:paraId="2137890C">
            <w:pPr>
              <w:shd w:val="clear" w:color="auto" w:fill="FFFFFF"/>
              <w:spacing w:line="580" w:lineRule="exact"/>
              <w:rPr>
                <w:rFonts w:ascii="Arial Narrow" w:hAnsi="Arial Narrow" w:cs="Arial"/>
                <w:sz w:val="24"/>
              </w:rPr>
            </w:pPr>
            <w:r>
              <w:rPr>
                <w:rFonts w:hint="eastAsia" w:ascii="Arial Narrow" w:hAnsi="Arial Narrow" w:cs="Arial"/>
                <w:sz w:val="24"/>
                <w:szCs w:val="24"/>
              </w:rPr>
              <w:t>5</w:t>
            </w:r>
          </w:p>
        </w:tc>
        <w:tc>
          <w:tcPr>
            <w:tcW w:w="1243" w:type="dxa"/>
            <w:tcBorders>
              <w:top w:val="single" w:color="auto" w:sz="4" w:space="0"/>
              <w:left w:val="single" w:color="auto" w:sz="4" w:space="0"/>
              <w:bottom w:val="single" w:color="auto" w:sz="4" w:space="0"/>
              <w:right w:val="single" w:color="auto" w:sz="4" w:space="0"/>
            </w:tcBorders>
            <w:noWrap/>
            <w:vAlign w:val="center"/>
          </w:tcPr>
          <w:p w14:paraId="5AEC206E">
            <w:pPr>
              <w:shd w:val="clear" w:color="auto" w:fill="FFFFFF"/>
              <w:spacing w:line="580" w:lineRule="exact"/>
              <w:rPr>
                <w:rFonts w:ascii="Arial Narrow" w:hAnsi="Arial Narrow" w:cs="Arial"/>
                <w:sz w:val="24"/>
              </w:rPr>
            </w:pPr>
            <w:r>
              <w:rPr>
                <w:rFonts w:hint="eastAsia" w:ascii="Arial Narrow" w:hAnsi="Arial Narrow" w:cs="Arial"/>
                <w:sz w:val="24"/>
                <w:szCs w:val="24"/>
              </w:rPr>
              <w:t>100</w:t>
            </w:r>
            <w:r>
              <w:rPr>
                <w:rFonts w:ascii="Arial Narrow" w:hAnsi="Arial Narrow" w:cs="Arial"/>
                <w:sz w:val="24"/>
                <w:szCs w:val="24"/>
              </w:rPr>
              <w:t>%</w:t>
            </w:r>
          </w:p>
        </w:tc>
      </w:tr>
      <w:tr w14:paraId="3F31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299" w:type="dxa"/>
            <w:gridSpan w:val="3"/>
            <w:tcBorders>
              <w:top w:val="single" w:color="auto" w:sz="4" w:space="0"/>
              <w:left w:val="single" w:color="auto" w:sz="4" w:space="0"/>
              <w:bottom w:val="single" w:color="auto" w:sz="4" w:space="0"/>
              <w:right w:val="single" w:color="auto" w:sz="4" w:space="0"/>
            </w:tcBorders>
            <w:noWrap/>
            <w:vAlign w:val="center"/>
          </w:tcPr>
          <w:p w14:paraId="4CF4D2F4">
            <w:pPr>
              <w:shd w:val="clear" w:color="auto" w:fill="FFFFFF"/>
              <w:spacing w:line="580" w:lineRule="exact"/>
              <w:ind w:firstLine="482"/>
              <w:rPr>
                <w:rFonts w:ascii="仿宋" w:hAnsi="仿宋" w:cs="仿宋"/>
                <w:b/>
                <w:color w:val="000000"/>
                <w:sz w:val="24"/>
              </w:rPr>
            </w:pPr>
            <w:r>
              <w:rPr>
                <w:rFonts w:hint="eastAsia" w:ascii="仿宋" w:hAnsi="仿宋" w:cs="仿宋"/>
                <w:b/>
                <w:color w:val="000000"/>
                <w:sz w:val="24"/>
                <w:szCs w:val="24"/>
              </w:rPr>
              <w:t>小    计</w:t>
            </w:r>
          </w:p>
        </w:tc>
        <w:tc>
          <w:tcPr>
            <w:tcW w:w="795" w:type="dxa"/>
            <w:tcBorders>
              <w:top w:val="single" w:color="auto" w:sz="4" w:space="0"/>
              <w:left w:val="single" w:color="auto" w:sz="4" w:space="0"/>
              <w:bottom w:val="single" w:color="auto" w:sz="4" w:space="0"/>
              <w:right w:val="single" w:color="auto" w:sz="4" w:space="0"/>
            </w:tcBorders>
            <w:noWrap/>
            <w:vAlign w:val="center"/>
          </w:tcPr>
          <w:p w14:paraId="46856271">
            <w:pPr>
              <w:shd w:val="clear" w:color="auto" w:fill="FFFFFF"/>
              <w:spacing w:line="580" w:lineRule="exact"/>
              <w:rPr>
                <w:rFonts w:ascii="Arial Narrow" w:hAnsi="Arial Narrow" w:cs="Arial"/>
                <w:b/>
                <w:color w:val="000000"/>
                <w:sz w:val="24"/>
              </w:rPr>
            </w:pPr>
            <w:r>
              <w:rPr>
                <w:rFonts w:hint="eastAsia" w:ascii="Arial Narrow" w:hAnsi="Arial Narrow" w:cs="Arial"/>
                <w:b/>
                <w:color w:val="000000"/>
                <w:sz w:val="24"/>
                <w:szCs w:val="24"/>
              </w:rPr>
              <w:t>10</w:t>
            </w:r>
          </w:p>
        </w:tc>
        <w:tc>
          <w:tcPr>
            <w:tcW w:w="885" w:type="dxa"/>
            <w:tcBorders>
              <w:top w:val="single" w:color="auto" w:sz="4" w:space="0"/>
              <w:left w:val="single" w:color="auto" w:sz="4" w:space="0"/>
              <w:bottom w:val="single" w:color="auto" w:sz="4" w:space="0"/>
              <w:right w:val="single" w:color="auto" w:sz="4" w:space="0"/>
            </w:tcBorders>
            <w:noWrap/>
            <w:vAlign w:val="center"/>
          </w:tcPr>
          <w:p w14:paraId="5F265F89">
            <w:pPr>
              <w:shd w:val="clear" w:color="auto" w:fill="FFFFFF"/>
              <w:spacing w:line="580" w:lineRule="exact"/>
              <w:rPr>
                <w:rFonts w:ascii="Arial Narrow" w:hAnsi="Arial Narrow" w:cs="Arial"/>
                <w:b/>
                <w:color w:val="000000"/>
                <w:sz w:val="24"/>
              </w:rPr>
            </w:pPr>
            <w:r>
              <w:rPr>
                <w:rFonts w:hint="eastAsia" w:ascii="Arial Narrow" w:hAnsi="Arial Narrow" w:cs="Arial"/>
                <w:b/>
                <w:color w:val="000000"/>
                <w:sz w:val="24"/>
                <w:szCs w:val="24"/>
              </w:rPr>
              <w:t>10</w:t>
            </w:r>
          </w:p>
        </w:tc>
        <w:tc>
          <w:tcPr>
            <w:tcW w:w="1243" w:type="dxa"/>
            <w:tcBorders>
              <w:top w:val="single" w:color="auto" w:sz="4" w:space="0"/>
              <w:left w:val="single" w:color="auto" w:sz="4" w:space="0"/>
              <w:bottom w:val="single" w:color="auto" w:sz="4" w:space="0"/>
              <w:right w:val="single" w:color="auto" w:sz="4" w:space="0"/>
            </w:tcBorders>
            <w:noWrap/>
            <w:vAlign w:val="center"/>
          </w:tcPr>
          <w:p w14:paraId="26E7A60A">
            <w:pPr>
              <w:shd w:val="clear" w:color="auto" w:fill="FFFFFF"/>
              <w:spacing w:line="580" w:lineRule="exact"/>
              <w:rPr>
                <w:rFonts w:ascii="Arial Narrow" w:hAnsi="Arial Narrow" w:cs="Arial"/>
                <w:b/>
                <w:color w:val="000000"/>
                <w:sz w:val="24"/>
              </w:rPr>
            </w:pPr>
            <w:r>
              <w:rPr>
                <w:rFonts w:hint="eastAsia" w:ascii="Arial Narrow" w:hAnsi="Arial Narrow" w:cs="Arial"/>
                <w:b/>
                <w:color w:val="000000"/>
                <w:sz w:val="24"/>
                <w:szCs w:val="24"/>
              </w:rPr>
              <w:t>100</w:t>
            </w:r>
            <w:r>
              <w:rPr>
                <w:rFonts w:ascii="Arial Narrow" w:hAnsi="Arial Narrow" w:cs="Arial"/>
                <w:b/>
                <w:color w:val="000000"/>
                <w:sz w:val="24"/>
                <w:szCs w:val="24"/>
              </w:rPr>
              <w:t>%</w:t>
            </w:r>
          </w:p>
        </w:tc>
      </w:tr>
    </w:tbl>
    <w:p w14:paraId="4C9268A3">
      <w:pPr>
        <w:pStyle w:val="186"/>
        <w:spacing w:line="580" w:lineRule="exact"/>
      </w:pPr>
    </w:p>
    <w:p w14:paraId="7A0DEAE5">
      <w:pPr>
        <w:spacing w:line="580" w:lineRule="exact"/>
        <w:ind w:firstLine="640"/>
        <w:rPr>
          <w:rFonts w:ascii="黑体" w:hAnsi="黑体" w:eastAsia="黑体"/>
          <w:sz w:val="32"/>
          <w:szCs w:val="32"/>
        </w:rPr>
      </w:pPr>
      <w:r>
        <w:rPr>
          <w:rFonts w:hint="eastAsia" w:ascii="黑体" w:hAnsi="黑体" w:eastAsia="黑体"/>
          <w:sz w:val="32"/>
          <w:szCs w:val="32"/>
        </w:rPr>
        <w:t>四、自评结论</w:t>
      </w:r>
    </w:p>
    <w:p w14:paraId="5683E9AC">
      <w:pPr>
        <w:spacing w:before="211"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依据县级财政专项资金绩效评价指标体系，结合项目实施情况，对山丹县信息化工作办公室智慧城市建设项目自评评价得分98分。</w:t>
      </w:r>
    </w:p>
    <w:p w14:paraId="046973B2">
      <w:pPr>
        <w:numPr>
          <w:ilvl w:val="0"/>
          <w:numId w:val="9"/>
        </w:numPr>
        <w:spacing w:line="580" w:lineRule="exact"/>
        <w:ind w:firstLine="640"/>
        <w:rPr>
          <w:rFonts w:ascii="黑体" w:hAnsi="黑体" w:eastAsia="黑体"/>
          <w:sz w:val="32"/>
          <w:szCs w:val="32"/>
        </w:rPr>
      </w:pPr>
      <w:r>
        <w:rPr>
          <w:rFonts w:hint="eastAsia" w:ascii="黑体" w:hAnsi="黑体" w:eastAsia="黑体"/>
          <w:sz w:val="32"/>
          <w:szCs w:val="32"/>
        </w:rPr>
        <w:t>存在的问题</w:t>
      </w:r>
    </w:p>
    <w:p w14:paraId="07D68911">
      <w:pPr>
        <w:spacing w:line="580" w:lineRule="exact"/>
        <w:ind w:firstLine="640"/>
        <w:rPr>
          <w:rFonts w:ascii="黑体" w:hAnsi="黑体" w:eastAsia="黑体"/>
          <w:sz w:val="32"/>
          <w:szCs w:val="32"/>
        </w:rPr>
      </w:pPr>
      <w:r>
        <w:rPr>
          <w:rFonts w:hint="eastAsia" w:ascii="仿宋_GB2312" w:hAnsi="仿宋_GB2312" w:eastAsia="仿宋_GB2312" w:cs="仿宋_GB2312"/>
          <w:sz w:val="32"/>
          <w:szCs w:val="32"/>
        </w:rPr>
        <w:t>因智慧城市建设项目资金到位较慢，影响建设项目优化完善，特别是数字孪生平台城市数字建模，公共视频资源共享调度平台接入数据流的优化等问题。</w:t>
      </w:r>
    </w:p>
    <w:p w14:paraId="054344C0">
      <w:pPr>
        <w:numPr>
          <w:ilvl w:val="0"/>
          <w:numId w:val="9"/>
        </w:numPr>
        <w:spacing w:line="580" w:lineRule="exact"/>
        <w:ind w:firstLine="640"/>
        <w:rPr>
          <w:rFonts w:ascii="黑体" w:hAnsi="黑体" w:eastAsia="黑体"/>
          <w:sz w:val="32"/>
          <w:szCs w:val="32"/>
        </w:rPr>
      </w:pPr>
      <w:r>
        <w:rPr>
          <w:rFonts w:hint="eastAsia" w:ascii="黑体" w:hAnsi="黑体" w:eastAsia="黑体"/>
          <w:sz w:val="32"/>
          <w:szCs w:val="32"/>
        </w:rPr>
        <w:t>下一步改进工作的措施</w:t>
      </w:r>
    </w:p>
    <w:p w14:paraId="5FAF2025">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（1）对专项资金管理使用的各个环节严格把关，做到项目资金专账核算、专款专用、专人负责。</w:t>
      </w:r>
    </w:p>
    <w:p w14:paraId="0884384B">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（2）对项目基础资料、招投标资料、监理资料、验收资料进行专人管理。</w:t>
      </w:r>
    </w:p>
    <w:p w14:paraId="5B577D1E">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（3）工程建设单位严格监管工程质量和7*24小时维护响应，保证工程质量达标，确保项目资金的支付进度。</w:t>
      </w:r>
    </w:p>
    <w:p w14:paraId="03E48A05">
      <w:pPr>
        <w:spacing w:line="580" w:lineRule="exact"/>
        <w:ind w:left="420"/>
        <w:rPr>
          <w:rFonts w:ascii="黑体" w:hAnsi="黑体" w:eastAsia="黑体"/>
          <w:sz w:val="32"/>
          <w:szCs w:val="32"/>
        </w:rPr>
      </w:pPr>
    </w:p>
    <w:p w14:paraId="546CAC34">
      <w:pPr>
        <w:pStyle w:val="186"/>
        <w:spacing w:line="580" w:lineRule="exact"/>
      </w:pPr>
    </w:p>
    <w:p w14:paraId="1C427AEF">
      <w:pPr>
        <w:pStyle w:val="187"/>
        <w:spacing w:line="580" w:lineRule="exact"/>
      </w:pPr>
    </w:p>
    <w:p w14:paraId="71CD5096">
      <w:pPr>
        <w:spacing w:line="580" w:lineRule="exact"/>
        <w:ind w:firstLine="4160"/>
        <w:rPr>
          <w:rFonts w:ascii="仿宋_GB2312" w:hAnsi="仿宋_GB2312" w:eastAsia="仿宋_GB2312" w:cs="仿宋_GB2312"/>
          <w:sz w:val="32"/>
          <w:szCs w:val="32"/>
        </w:rPr>
      </w:pPr>
    </w:p>
    <w:p w14:paraId="4BDF84A7">
      <w:pPr>
        <w:spacing w:line="580" w:lineRule="exact"/>
        <w:ind w:firstLine="4160"/>
        <w:rPr>
          <w:rFonts w:ascii="仿宋_GB2312" w:hAnsi="仿宋_GB2312" w:eastAsia="仿宋_GB2312" w:cs="仿宋_GB2312"/>
          <w:sz w:val="32"/>
          <w:szCs w:val="32"/>
        </w:rPr>
      </w:pPr>
    </w:p>
    <w:p w14:paraId="6BE8CEB8">
      <w:pPr>
        <w:spacing w:line="580" w:lineRule="exact"/>
        <w:ind w:firstLine="4160"/>
        <w:rPr>
          <w:rFonts w:ascii="仿宋_GB2312" w:hAnsi="仿宋_GB2312" w:eastAsia="仿宋_GB2312" w:cs="仿宋_GB2312"/>
          <w:sz w:val="32"/>
          <w:szCs w:val="32"/>
        </w:rPr>
      </w:pPr>
    </w:p>
    <w:p w14:paraId="626E4D80">
      <w:pPr>
        <w:spacing w:line="580" w:lineRule="exact"/>
        <w:ind w:firstLine="4160"/>
        <w:rPr>
          <w:rFonts w:ascii="仿宋_GB2312" w:hAnsi="仿宋_GB2312" w:eastAsia="仿宋_GB2312" w:cs="仿宋_GB2312"/>
          <w:sz w:val="32"/>
          <w:szCs w:val="32"/>
        </w:rPr>
      </w:pPr>
    </w:p>
    <w:p w14:paraId="39BED046">
      <w:pPr>
        <w:spacing w:line="580" w:lineRule="exact"/>
        <w:ind w:firstLine="4160"/>
        <w:rPr>
          <w:rFonts w:ascii="仿宋_GB2312" w:hAnsi="仿宋_GB2312" w:eastAsia="仿宋_GB2312" w:cs="仿宋_GB2312"/>
          <w:sz w:val="32"/>
          <w:szCs w:val="32"/>
        </w:rPr>
      </w:pPr>
    </w:p>
    <w:p w14:paraId="63205427">
      <w:pPr>
        <w:spacing w:line="580" w:lineRule="exact"/>
        <w:ind w:firstLine="4160"/>
        <w:rPr>
          <w:rFonts w:ascii="仿宋_GB2312" w:hAnsi="仿宋_GB2312" w:eastAsia="仿宋_GB2312" w:cs="仿宋_GB2312"/>
          <w:sz w:val="32"/>
          <w:szCs w:val="32"/>
        </w:rPr>
      </w:pPr>
    </w:p>
    <w:p w14:paraId="7D3110FD">
      <w:pPr>
        <w:spacing w:line="580" w:lineRule="exact"/>
        <w:ind w:firstLine="4160"/>
        <w:rPr>
          <w:rFonts w:ascii="仿宋_GB2312" w:hAnsi="仿宋_GB2312" w:eastAsia="仿宋_GB2312" w:cs="仿宋_GB2312"/>
          <w:sz w:val="32"/>
          <w:szCs w:val="32"/>
        </w:rPr>
      </w:pPr>
    </w:p>
    <w:p w14:paraId="644C345A">
      <w:pPr>
        <w:spacing w:line="580" w:lineRule="exact"/>
        <w:ind w:firstLine="4160"/>
        <w:rPr>
          <w:rFonts w:ascii="仿宋_GB2312" w:hAnsi="仿宋_GB2312" w:eastAsia="仿宋_GB2312" w:cs="仿宋_GB2312"/>
          <w:sz w:val="32"/>
          <w:szCs w:val="32"/>
        </w:rPr>
      </w:pPr>
    </w:p>
    <w:p w14:paraId="2342C13E">
      <w:pPr>
        <w:spacing w:line="580" w:lineRule="exact"/>
        <w:rPr>
          <w:rFonts w:ascii="方正小标宋简体" w:eastAsia="方正小标宋简体"/>
          <w:sz w:val="44"/>
          <w:szCs w:val="44"/>
        </w:rPr>
      </w:pPr>
    </w:p>
    <w:p w14:paraId="4ECBA9FA">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山丹县12345政务服务便民热线</w:t>
      </w:r>
    </w:p>
    <w:p w14:paraId="096903E9">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呼叫中心服务外包项目支出绩效自评报告</w:t>
      </w:r>
    </w:p>
    <w:p w14:paraId="3A52AA94">
      <w:pPr>
        <w:spacing w:line="580" w:lineRule="exact"/>
        <w:rPr>
          <w:rFonts w:ascii="方正小标宋简体" w:eastAsia="方正小标宋简体"/>
          <w:sz w:val="44"/>
          <w:szCs w:val="44"/>
        </w:rPr>
      </w:pPr>
    </w:p>
    <w:p w14:paraId="08B19FD2">
      <w:pPr>
        <w:spacing w:line="580" w:lineRule="exact"/>
        <w:ind w:firstLine="640"/>
        <w:rPr>
          <w:rFonts w:eastAsia="黑体"/>
          <w:sz w:val="32"/>
          <w:szCs w:val="32"/>
        </w:rPr>
      </w:pPr>
      <w:r>
        <w:rPr>
          <w:rFonts w:hint="eastAsia" w:eastAsia="黑体"/>
          <w:sz w:val="32"/>
          <w:szCs w:val="32"/>
        </w:rPr>
        <w:t>一、项目基本情况</w:t>
      </w:r>
    </w:p>
    <w:p w14:paraId="7AC049FA">
      <w:pPr>
        <w:spacing w:line="580" w:lineRule="exact"/>
        <w:ind w:firstLine="643"/>
        <w:rPr>
          <w:rFonts w:ascii="楷体_GB2312" w:eastAsia="楷体_GB2312"/>
          <w:b/>
          <w:sz w:val="32"/>
          <w:szCs w:val="32"/>
        </w:rPr>
      </w:pPr>
      <w:r>
        <w:rPr>
          <w:rFonts w:hint="eastAsia" w:ascii="楷体_GB2312" w:eastAsia="楷体_GB2312"/>
          <w:b/>
          <w:sz w:val="32"/>
          <w:szCs w:val="32"/>
        </w:rPr>
        <w:t>（一）项目概况</w:t>
      </w:r>
    </w:p>
    <w:p w14:paraId="435C6EB8">
      <w:pPr>
        <w:pStyle w:val="185"/>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经2022年县政府第三次常务会议同意县信息办负责,委托有经验实力的专业机构负责12345政务服务便民热线平台的运营管理。同时，加强热线平台日常监管、宣传和考核等工作，确保热线受理事件接得更快、分得更准、办得更实。</w:t>
      </w:r>
    </w:p>
    <w:p w14:paraId="427F511F">
      <w:pPr>
        <w:spacing w:line="580" w:lineRule="exact"/>
        <w:ind w:firstLine="643"/>
        <w:rPr>
          <w:rFonts w:ascii="楷体_GB2312" w:eastAsia="楷体_GB2312"/>
          <w:b/>
          <w:sz w:val="32"/>
          <w:szCs w:val="32"/>
        </w:rPr>
      </w:pPr>
      <w:r>
        <w:rPr>
          <w:rFonts w:hint="eastAsia" w:ascii="楷体_GB2312" w:eastAsia="楷体_GB2312"/>
          <w:b/>
          <w:sz w:val="32"/>
          <w:szCs w:val="32"/>
        </w:rPr>
        <w:t>（二）项目绩效目标</w:t>
      </w:r>
    </w:p>
    <w:p w14:paraId="677DB7DE">
      <w:pPr>
        <w:pStyle w:val="185"/>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按照“随接即办、限期办结”的要求，全力处理好12345政务服务热线平台系统转办事项，着力打造便捷、高效、智慧的城市运行“一网统管”总客服。</w:t>
      </w:r>
    </w:p>
    <w:p w14:paraId="5ACACCDC">
      <w:pPr>
        <w:spacing w:line="580" w:lineRule="exact"/>
        <w:ind w:firstLine="640"/>
        <w:rPr>
          <w:rFonts w:ascii="黑体" w:hAnsi="黑体" w:eastAsia="黑体"/>
          <w:sz w:val="32"/>
          <w:szCs w:val="32"/>
        </w:rPr>
      </w:pPr>
      <w:r>
        <w:rPr>
          <w:rFonts w:hint="eastAsia" w:ascii="黑体" w:hAnsi="黑体" w:eastAsia="黑体"/>
          <w:sz w:val="32"/>
          <w:szCs w:val="32"/>
        </w:rPr>
        <w:t>二、项目资金情况</w:t>
      </w:r>
    </w:p>
    <w:p w14:paraId="0444E968">
      <w:pPr>
        <w:spacing w:line="580" w:lineRule="exact"/>
        <w:ind w:firstLine="640"/>
        <w:rPr>
          <w:rFonts w:ascii="仿宋_GB2312" w:eastAsia="仿宋_GB2312"/>
          <w:sz w:val="32"/>
          <w:szCs w:val="32"/>
        </w:rPr>
      </w:pPr>
      <w:r>
        <w:rPr>
          <w:rFonts w:hint="eastAsia" w:ascii="仿宋_GB2312" w:hAnsi="仿宋_GB2312" w:eastAsia="仿宋_GB2312" w:cs="仿宋_GB2312"/>
          <w:sz w:val="32"/>
          <w:szCs w:val="32"/>
        </w:rPr>
        <w:t>山丹县12345政务服务便民热线呼叫中心服务外包费用</w:t>
      </w:r>
      <w:r>
        <w:rPr>
          <w:rFonts w:hint="eastAsia" w:ascii="仿宋_GB2312" w:eastAsia="仿宋_GB2312"/>
          <w:sz w:val="32"/>
          <w:szCs w:val="32"/>
        </w:rPr>
        <w:t>预算资金合计32.92万元，于2023年2月与中电万维信息技术有限责任公司张掖分公司签订合同，合同价格32.92万元，于2023年2月实施，现已完成建设任务的100%。其中：山丹县“12345”平台运维业务服务合同7.2万元；山丹县“12345”政务服务便民热线呼叫中心服务外包项目合同</w:t>
      </w:r>
      <w:r>
        <w:rPr>
          <w:rFonts w:ascii="仿宋_GB2312" w:eastAsia="仿宋_GB2312"/>
          <w:sz w:val="32"/>
          <w:szCs w:val="32"/>
        </w:rPr>
        <w:t>29</w:t>
      </w:r>
      <w:r>
        <w:rPr>
          <w:rFonts w:hint="eastAsia" w:ascii="仿宋_GB2312" w:eastAsia="仿宋_GB2312"/>
          <w:sz w:val="32"/>
          <w:szCs w:val="32"/>
        </w:rPr>
        <w:t>.</w:t>
      </w:r>
      <w:r>
        <w:rPr>
          <w:rFonts w:ascii="仿宋_GB2312" w:eastAsia="仿宋_GB2312"/>
          <w:sz w:val="32"/>
          <w:szCs w:val="32"/>
        </w:rPr>
        <w:t>72</w:t>
      </w:r>
      <w:r>
        <w:rPr>
          <w:rFonts w:hint="eastAsia" w:ascii="仿宋_GB2312" w:eastAsia="仿宋_GB2312"/>
          <w:sz w:val="32"/>
          <w:szCs w:val="32"/>
        </w:rPr>
        <w:t>万元，合计32.92万元。截止2023年11月，已支付32.92万元，剩余0.08万元退回县财政。</w:t>
      </w:r>
    </w:p>
    <w:p w14:paraId="6361A219">
      <w:pPr>
        <w:spacing w:line="580" w:lineRule="exact"/>
        <w:ind w:firstLine="640"/>
        <w:rPr>
          <w:rFonts w:ascii="黑体" w:hAnsi="黑体" w:eastAsia="黑体"/>
          <w:sz w:val="32"/>
          <w:szCs w:val="32"/>
        </w:rPr>
      </w:pPr>
      <w:r>
        <w:rPr>
          <w:rFonts w:hint="eastAsia" w:ascii="黑体" w:hAnsi="黑体" w:eastAsia="黑体"/>
          <w:sz w:val="32"/>
          <w:szCs w:val="32"/>
        </w:rPr>
        <w:t>三、绩效目标完成情况及效益分析</w:t>
      </w:r>
    </w:p>
    <w:p w14:paraId="2B94DDED">
      <w:pPr>
        <w:spacing w:line="580" w:lineRule="exact"/>
        <w:ind w:firstLine="640"/>
        <w:rPr>
          <w:rFonts w:ascii="仿宋_GB2312" w:eastAsia="仿宋_GB2312"/>
          <w:sz w:val="32"/>
          <w:szCs w:val="32"/>
        </w:rPr>
      </w:pPr>
      <w:r>
        <w:rPr>
          <w:rFonts w:hint="eastAsia" w:ascii="仿宋_GB2312" w:eastAsia="仿宋_GB2312"/>
          <w:sz w:val="32"/>
          <w:szCs w:val="32"/>
        </w:rPr>
        <w:t>经评价：项目资金无超范围、违规、挪用项目资金现象，项目产出质量、产出时效、产出成本、项目效果等方面工作成效显著。</w:t>
      </w:r>
    </w:p>
    <w:p w14:paraId="6EC965D6">
      <w:pPr>
        <w:spacing w:line="580" w:lineRule="exact"/>
        <w:ind w:firstLine="640"/>
        <w:rPr>
          <w:rFonts w:ascii="黑体" w:hAnsi="黑体" w:eastAsia="黑体"/>
          <w:sz w:val="32"/>
          <w:szCs w:val="32"/>
        </w:rPr>
      </w:pPr>
      <w:r>
        <w:rPr>
          <w:rFonts w:hint="eastAsia" w:ascii="黑体" w:hAnsi="黑体" w:eastAsia="黑体"/>
          <w:sz w:val="32"/>
          <w:szCs w:val="32"/>
        </w:rPr>
        <w:t>四、自评结论</w:t>
      </w:r>
    </w:p>
    <w:p w14:paraId="52893FAA">
      <w:pPr>
        <w:spacing w:line="580" w:lineRule="exact"/>
        <w:ind w:firstLine="640"/>
        <w:rPr>
          <w:rFonts w:ascii="仿宋_GB2312" w:eastAsia="仿宋_GB2312"/>
          <w:sz w:val="32"/>
          <w:szCs w:val="32"/>
        </w:rPr>
      </w:pPr>
      <w:r>
        <w:rPr>
          <w:rFonts w:hint="eastAsia" w:ascii="仿宋_GB2312" w:eastAsia="仿宋_GB2312"/>
          <w:sz w:val="32"/>
          <w:szCs w:val="32"/>
        </w:rPr>
        <w:t>依据县级财政专项资金绩效评价指标体系，结合项目实施情况，对山丹县信息化工作办公室</w:t>
      </w:r>
      <w:r>
        <w:rPr>
          <w:rFonts w:hint="eastAsia" w:ascii="仿宋_GB2312" w:hAnsi="仿宋_GB2312" w:eastAsia="仿宋_GB2312" w:cs="仿宋_GB2312"/>
          <w:sz w:val="32"/>
          <w:szCs w:val="32"/>
        </w:rPr>
        <w:t>12345政务服务便民热线呼叫中心服务外包费用项目</w:t>
      </w:r>
      <w:r>
        <w:rPr>
          <w:rFonts w:hint="eastAsia" w:ascii="仿宋_GB2312" w:eastAsia="仿宋_GB2312"/>
          <w:sz w:val="32"/>
          <w:szCs w:val="32"/>
        </w:rPr>
        <w:t>自评评价得</w:t>
      </w:r>
      <w:r>
        <w:rPr>
          <w:rFonts w:hint="eastAsia" w:ascii="仿宋_GB2312" w:hAnsi="仿宋_GB2312" w:eastAsia="仿宋_GB2312" w:cs="仿宋_GB2312"/>
          <w:sz w:val="32"/>
          <w:szCs w:val="32"/>
        </w:rPr>
        <w:t>分98分。</w:t>
      </w:r>
    </w:p>
    <w:p w14:paraId="78B39EB1">
      <w:pPr>
        <w:spacing w:line="580" w:lineRule="exact"/>
        <w:ind w:firstLine="640"/>
        <w:rPr>
          <w:rFonts w:ascii="黑体" w:hAnsi="黑体" w:eastAsia="黑体"/>
          <w:sz w:val="32"/>
          <w:szCs w:val="32"/>
        </w:rPr>
      </w:pPr>
      <w:r>
        <w:rPr>
          <w:rFonts w:hint="eastAsia" w:ascii="黑体" w:hAnsi="黑体" w:eastAsia="黑体"/>
          <w:sz w:val="32"/>
          <w:szCs w:val="32"/>
        </w:rPr>
        <w:t>五、存在的问题（说明未完成绩效目标及其原因）</w:t>
      </w:r>
    </w:p>
    <w:p w14:paraId="78C2D901">
      <w:pPr>
        <w:spacing w:line="580" w:lineRule="exact"/>
        <w:ind w:firstLine="643"/>
        <w:rPr>
          <w:rFonts w:eastAsia="仿宋_GB2312"/>
          <w:sz w:val="32"/>
          <w:szCs w:val="32"/>
        </w:rPr>
      </w:pPr>
      <w:r>
        <w:rPr>
          <w:rFonts w:hint="eastAsia" w:ascii="Times New Roman" w:hAnsi="Times New Roman" w:eastAsia="楷体_GB2312" w:cs="Times New Roman"/>
          <w:b/>
          <w:bCs/>
          <w:sz w:val="32"/>
          <w:szCs w:val="32"/>
        </w:rPr>
        <w:t>一是难点</w:t>
      </w:r>
      <w:r>
        <w:rPr>
          <w:rFonts w:ascii="Times New Roman" w:hAnsi="Times New Roman" w:eastAsia="楷体_GB2312" w:cs="Times New Roman"/>
          <w:b/>
          <w:bCs/>
          <w:sz w:val="32"/>
          <w:szCs w:val="32"/>
        </w:rPr>
        <w:t>事项</w:t>
      </w:r>
      <w:r>
        <w:rPr>
          <w:rFonts w:hint="eastAsia" w:ascii="Times New Roman" w:hAnsi="Times New Roman" w:eastAsia="楷体_GB2312" w:cs="Times New Roman"/>
          <w:b/>
          <w:bCs/>
          <w:sz w:val="32"/>
          <w:szCs w:val="32"/>
        </w:rPr>
        <w:t>转派困难</w:t>
      </w:r>
      <w:r>
        <w:rPr>
          <w:rFonts w:ascii="Times New Roman" w:hAnsi="Times New Roman" w:eastAsia="楷体_GB2312" w:cs="Times New Roman"/>
          <w:b/>
          <w:bCs/>
          <w:sz w:val="32"/>
          <w:szCs w:val="32"/>
        </w:rPr>
        <w:t>。</w:t>
      </w:r>
      <w:r>
        <w:rPr>
          <w:rFonts w:ascii="Times New Roman" w:hAnsi="Times New Roman" w:eastAsia="仿宋_GB2312" w:cs="Times New Roman"/>
          <w:sz w:val="32"/>
          <w:szCs w:val="32"/>
        </w:rPr>
        <w:t>我县12345热线平台在转派工单流程中，存在</w:t>
      </w:r>
      <w:r>
        <w:rPr>
          <w:rFonts w:hint="eastAsia" w:eastAsia="仿宋_GB2312" w:cs="Times New Roman"/>
          <w:sz w:val="32"/>
          <w:szCs w:val="32"/>
        </w:rPr>
        <w:t>个别</w:t>
      </w:r>
      <w:r>
        <w:rPr>
          <w:rFonts w:ascii="Times New Roman" w:hAnsi="Times New Roman" w:eastAsia="仿宋_GB2312" w:cs="Times New Roman"/>
          <w:sz w:val="32"/>
          <w:szCs w:val="32"/>
        </w:rPr>
        <w:t>承办单位职能职责界定模糊，影响受理转派工单办理、不能妥善解决群众诉求。经分析，我县投拆较多的事项</w:t>
      </w:r>
      <w:r>
        <w:rPr>
          <w:rFonts w:hint="eastAsia" w:ascii="Times New Roman" w:hAnsi="Times New Roman" w:eastAsia="仿宋_GB2312" w:cs="Times New Roman"/>
          <w:sz w:val="32"/>
          <w:szCs w:val="32"/>
        </w:rPr>
        <w:t>涉及</w:t>
      </w:r>
      <w:r>
        <w:rPr>
          <w:rFonts w:ascii="Times New Roman" w:hAnsi="Times New Roman" w:eastAsia="仿宋_GB2312" w:cs="Times New Roman"/>
          <w:b/>
          <w:bCs/>
          <w:sz w:val="32"/>
          <w:szCs w:val="32"/>
        </w:rPr>
        <w:t>供暖供水</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景区管理、</w:t>
      </w:r>
      <w:r>
        <w:rPr>
          <w:rFonts w:hint="eastAsia" w:eastAsia="仿宋_GB2312" w:cs="Times New Roman"/>
          <w:b/>
          <w:bCs/>
          <w:sz w:val="32"/>
          <w:szCs w:val="32"/>
        </w:rPr>
        <w:t>有照无证机构监管等问题。</w:t>
      </w:r>
      <w:r>
        <w:rPr>
          <w:rFonts w:hint="eastAsia" w:ascii="Times New Roman" w:hAnsi="Times New Roman" w:eastAsia="楷体_GB2312" w:cs="Times New Roman"/>
          <w:b/>
          <w:bCs/>
          <w:sz w:val="32"/>
          <w:szCs w:val="32"/>
        </w:rPr>
        <w:t>二是</w:t>
      </w:r>
      <w:r>
        <w:rPr>
          <w:rFonts w:ascii="Times New Roman" w:hAnsi="Times New Roman" w:eastAsia="楷体_GB2312" w:cs="Times New Roman"/>
          <w:b/>
          <w:bCs/>
          <w:sz w:val="32"/>
          <w:szCs w:val="32"/>
        </w:rPr>
        <w:t>承办单位重视程度不够。</w:t>
      </w:r>
      <w:r>
        <w:rPr>
          <w:rFonts w:ascii="Times New Roman" w:hAnsi="Times New Roman" w:eastAsia="仿宋_GB2312" w:cs="Times New Roman"/>
          <w:sz w:val="32"/>
          <w:szCs w:val="32"/>
        </w:rPr>
        <w:t>个别承办单位未能及时跟进工单办理，按时回复办理结果，经热线平台工作人员</w:t>
      </w:r>
      <w:r>
        <w:rPr>
          <w:rFonts w:hint="eastAsia" w:eastAsia="仿宋_GB2312" w:cs="Times New Roman"/>
          <w:sz w:val="32"/>
          <w:szCs w:val="32"/>
        </w:rPr>
        <w:t>频繁</w:t>
      </w:r>
      <w:r>
        <w:rPr>
          <w:rFonts w:ascii="Times New Roman" w:hAnsi="Times New Roman" w:eastAsia="仿宋_GB2312" w:cs="Times New Roman"/>
          <w:sz w:val="32"/>
          <w:szCs w:val="32"/>
        </w:rPr>
        <w:t>催促督办才予以回复</w:t>
      </w:r>
      <w:r>
        <w:rPr>
          <w:rFonts w:hint="eastAsia" w:eastAsia="仿宋_GB2312" w:cs="Times New Roman"/>
          <w:sz w:val="32"/>
          <w:szCs w:val="32"/>
        </w:rPr>
        <w:t>，且未严格落实“双反馈”工作要求</w:t>
      </w:r>
      <w:r>
        <w:rPr>
          <w:rFonts w:ascii="Times New Roman" w:hAnsi="Times New Roman" w:eastAsia="仿宋_GB2312" w:cs="Times New Roman"/>
          <w:sz w:val="32"/>
          <w:szCs w:val="32"/>
        </w:rPr>
        <w:t>，导致同</w:t>
      </w:r>
      <w:r>
        <w:rPr>
          <w:rFonts w:hint="eastAsia" w:eastAsia="仿宋_GB2312" w:cs="Times New Roman"/>
          <w:sz w:val="32"/>
          <w:szCs w:val="32"/>
        </w:rPr>
        <w:t>一</w:t>
      </w:r>
      <w:r>
        <w:rPr>
          <w:rFonts w:ascii="Times New Roman" w:hAnsi="Times New Roman" w:eastAsia="仿宋_GB2312" w:cs="Times New Roman"/>
          <w:sz w:val="32"/>
          <w:szCs w:val="32"/>
        </w:rPr>
        <w:t>问题诉求人</w:t>
      </w:r>
      <w:r>
        <w:rPr>
          <w:rFonts w:hint="eastAsia" w:eastAsia="仿宋_GB2312" w:cs="Times New Roman"/>
          <w:sz w:val="32"/>
          <w:szCs w:val="32"/>
        </w:rPr>
        <w:t>不满意且</w:t>
      </w:r>
      <w:r>
        <w:rPr>
          <w:rFonts w:ascii="Times New Roman" w:hAnsi="Times New Roman" w:eastAsia="仿宋_GB2312" w:cs="Times New Roman"/>
          <w:sz w:val="32"/>
          <w:szCs w:val="32"/>
        </w:rPr>
        <w:t>反复投诉</w:t>
      </w:r>
      <w:r>
        <w:rPr>
          <w:rFonts w:hint="eastAsia" w:eastAsia="仿宋_GB2312" w:cs="Times New Roman"/>
          <w:sz w:val="32"/>
          <w:szCs w:val="32"/>
        </w:rPr>
        <w:t>，影响全</w:t>
      </w:r>
      <w:r>
        <w:rPr>
          <w:rFonts w:ascii="Times New Roman" w:hAnsi="Times New Roman" w:eastAsia="仿宋_GB2312" w:cs="Times New Roman"/>
          <w:sz w:val="32"/>
          <w:szCs w:val="32"/>
        </w:rPr>
        <w:t>县转派工单一次性办结率。</w:t>
      </w:r>
      <w:r>
        <w:rPr>
          <w:rFonts w:hint="eastAsia" w:eastAsia="仿宋_GB2312" w:cs="Times New Roman"/>
          <w:b/>
          <w:bCs/>
          <w:sz w:val="32"/>
          <w:szCs w:val="32"/>
        </w:rPr>
        <w:t>三是</w:t>
      </w:r>
      <w:r>
        <w:rPr>
          <w:rFonts w:ascii="Times New Roman" w:hAnsi="Times New Roman" w:eastAsia="楷体_GB2312" w:cs="Times New Roman"/>
          <w:b/>
          <w:bCs/>
          <w:sz w:val="32"/>
          <w:szCs w:val="32"/>
        </w:rPr>
        <w:t>夜间紧急类事项受理</w:t>
      </w:r>
      <w:r>
        <w:rPr>
          <w:rFonts w:hint="eastAsia" w:ascii="Times New Roman" w:hAnsi="Times New Roman" w:eastAsia="楷体_GB2312" w:cs="Times New Roman"/>
          <w:b/>
          <w:bCs/>
          <w:sz w:val="32"/>
          <w:szCs w:val="32"/>
        </w:rPr>
        <w:t>不及时的</w:t>
      </w:r>
      <w:r>
        <w:rPr>
          <w:rFonts w:ascii="Times New Roman" w:hAnsi="Times New Roman" w:eastAsia="楷体_GB2312" w:cs="Times New Roman"/>
          <w:b/>
          <w:bCs/>
          <w:sz w:val="32"/>
          <w:szCs w:val="32"/>
        </w:rPr>
        <w:t>问题。</w:t>
      </w:r>
      <w:r>
        <w:rPr>
          <w:rFonts w:ascii="Times New Roman" w:hAnsi="Times New Roman" w:eastAsia="仿宋_GB2312" w:cs="Times New Roman"/>
          <w:sz w:val="32"/>
          <w:szCs w:val="32"/>
        </w:rPr>
        <w:t>12345热线平台时常会收到夜间投诉（当日22:00至次日08:30）的紧急类事项转派难度较大，特别是夜间噪音扰民、高速</w:t>
      </w:r>
      <w:r>
        <w:rPr>
          <w:rFonts w:hint="eastAsia" w:eastAsia="仿宋_GB2312" w:cs="Times New Roman"/>
          <w:sz w:val="32"/>
          <w:szCs w:val="32"/>
        </w:rPr>
        <w:t>和</w:t>
      </w:r>
      <w:r>
        <w:rPr>
          <w:rFonts w:hint="eastAsia" w:ascii="Times New Roman" w:hAnsi="Times New Roman" w:eastAsia="仿宋_GB2312" w:cs="Times New Roman"/>
          <w:sz w:val="32"/>
          <w:szCs w:val="32"/>
        </w:rPr>
        <w:t>低速</w:t>
      </w:r>
      <w:r>
        <w:rPr>
          <w:rFonts w:hint="eastAsia" w:eastAsia="仿宋_GB2312" w:cs="Times New Roman"/>
          <w:sz w:val="32"/>
          <w:szCs w:val="32"/>
        </w:rPr>
        <w:t>公路</w:t>
      </w:r>
      <w:r>
        <w:rPr>
          <w:rFonts w:ascii="Times New Roman" w:hAnsi="Times New Roman" w:eastAsia="仿宋_GB2312" w:cs="Times New Roman"/>
          <w:sz w:val="32"/>
          <w:szCs w:val="32"/>
        </w:rPr>
        <w:t>堵塞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火车站出租车搭载乘客收费、</w:t>
      </w:r>
      <w:r>
        <w:rPr>
          <w:rFonts w:hint="eastAsia" w:eastAsia="仿宋_GB2312" w:cs="Times New Roman"/>
          <w:sz w:val="32"/>
          <w:szCs w:val="32"/>
        </w:rPr>
        <w:t>封闭</w:t>
      </w:r>
      <w:r>
        <w:rPr>
          <w:rFonts w:ascii="Times New Roman" w:hAnsi="Times New Roman" w:eastAsia="仿宋_GB2312" w:cs="Times New Roman"/>
          <w:sz w:val="32"/>
          <w:szCs w:val="32"/>
        </w:rPr>
        <w:t>停车场抬杆等问题</w:t>
      </w:r>
      <w:r>
        <w:rPr>
          <w:rFonts w:hint="eastAsia" w:eastAsia="仿宋_GB2312" w:cs="Times New Roman"/>
          <w:sz w:val="32"/>
          <w:szCs w:val="32"/>
        </w:rPr>
        <w:t>，经</w:t>
      </w:r>
      <w:r>
        <w:rPr>
          <w:rFonts w:ascii="Times New Roman" w:hAnsi="Times New Roman" w:eastAsia="仿宋_GB2312" w:cs="Times New Roman"/>
          <w:sz w:val="32"/>
          <w:szCs w:val="32"/>
        </w:rPr>
        <w:t>常</w:t>
      </w:r>
      <w:r>
        <w:rPr>
          <w:rFonts w:hint="eastAsia" w:eastAsia="仿宋_GB2312" w:cs="Times New Roman"/>
          <w:sz w:val="32"/>
          <w:szCs w:val="32"/>
        </w:rPr>
        <w:t>夜间</w:t>
      </w:r>
      <w:r>
        <w:rPr>
          <w:rFonts w:ascii="Times New Roman" w:hAnsi="Times New Roman" w:eastAsia="仿宋_GB2312" w:cs="Times New Roman"/>
          <w:sz w:val="32"/>
          <w:szCs w:val="32"/>
        </w:rPr>
        <w:t>联系不上承办单位工作人员或承办单位</w:t>
      </w:r>
      <w:r>
        <w:rPr>
          <w:rFonts w:hint="eastAsia" w:eastAsia="仿宋_GB2312" w:cs="Times New Roman"/>
          <w:sz w:val="32"/>
          <w:szCs w:val="32"/>
        </w:rPr>
        <w:t>下班后</w:t>
      </w:r>
      <w:r>
        <w:rPr>
          <w:rFonts w:ascii="Times New Roman" w:hAnsi="Times New Roman" w:eastAsia="仿宋_GB2312" w:cs="Times New Roman"/>
          <w:sz w:val="32"/>
          <w:szCs w:val="32"/>
        </w:rPr>
        <w:t>无法处置，</w:t>
      </w:r>
      <w:r>
        <w:rPr>
          <w:rFonts w:hint="eastAsia" w:eastAsia="仿宋_GB2312" w:cs="Times New Roman"/>
          <w:sz w:val="32"/>
          <w:szCs w:val="32"/>
        </w:rPr>
        <w:t>致使</w:t>
      </w:r>
      <w:r>
        <w:rPr>
          <w:rFonts w:ascii="Times New Roman" w:hAnsi="Times New Roman" w:eastAsia="仿宋_GB2312" w:cs="Times New Roman"/>
          <w:sz w:val="32"/>
          <w:szCs w:val="32"/>
        </w:rPr>
        <w:t>许多市民反复来电催促</w:t>
      </w:r>
      <w:r>
        <w:rPr>
          <w:rFonts w:hint="eastAsia" w:eastAsia="仿宋_GB2312" w:cs="Times New Roman"/>
          <w:sz w:val="32"/>
          <w:szCs w:val="32"/>
        </w:rPr>
        <w:t>办理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四是</w:t>
      </w:r>
      <w:r>
        <w:rPr>
          <w:rFonts w:ascii="Times New Roman" w:hAnsi="Times New Roman" w:eastAsia="楷体_GB2312" w:cs="Times New Roman"/>
          <w:b/>
          <w:bCs/>
          <w:sz w:val="32"/>
          <w:szCs w:val="32"/>
        </w:rPr>
        <w:t>监督考核机制落实不严格的问题。</w:t>
      </w:r>
      <w:r>
        <w:rPr>
          <w:rFonts w:ascii="Times New Roman" w:hAnsi="Times New Roman" w:eastAsia="仿宋_GB2312" w:cs="Times New Roman"/>
          <w:sz w:val="32"/>
          <w:szCs w:val="32"/>
        </w:rPr>
        <w:t>目前热线平台大多采用电话催办、工作提醒、月通报、季度通报的方式进行督促办理，对拖涾拖延造成诉求事项办理不彻底的承办单位</w:t>
      </w:r>
      <w:r>
        <w:rPr>
          <w:rFonts w:hint="eastAsia" w:eastAsia="仿宋_GB2312" w:cs="Times New Roman"/>
          <w:sz w:val="32"/>
          <w:szCs w:val="32"/>
        </w:rPr>
        <w:t>缺乏</w:t>
      </w:r>
      <w:r>
        <w:rPr>
          <w:rFonts w:ascii="Times New Roman" w:hAnsi="Times New Roman" w:eastAsia="仿宋_GB2312" w:cs="Times New Roman"/>
          <w:sz w:val="32"/>
          <w:szCs w:val="32"/>
        </w:rPr>
        <w:t>行</w:t>
      </w:r>
      <w:r>
        <w:rPr>
          <w:rFonts w:hint="eastAsia" w:ascii="Times New Roman" w:hAnsi="Times New Roman" w:eastAsia="仿宋_GB2312" w:cs="Times New Roman"/>
          <w:sz w:val="32"/>
          <w:szCs w:val="32"/>
        </w:rPr>
        <w:t>之</w:t>
      </w:r>
      <w:r>
        <w:rPr>
          <w:rFonts w:ascii="Times New Roman" w:hAnsi="Times New Roman" w:eastAsia="仿宋_GB2312" w:cs="Times New Roman"/>
          <w:sz w:val="32"/>
          <w:szCs w:val="32"/>
        </w:rPr>
        <w:t>有效的</w:t>
      </w:r>
      <w:r>
        <w:rPr>
          <w:rFonts w:hint="eastAsia" w:eastAsia="仿宋_GB2312" w:cs="Times New Roman"/>
          <w:sz w:val="32"/>
          <w:szCs w:val="32"/>
        </w:rPr>
        <w:t>督查</w:t>
      </w:r>
      <w:r>
        <w:rPr>
          <w:rFonts w:ascii="Times New Roman" w:hAnsi="Times New Roman" w:eastAsia="仿宋_GB2312" w:cs="Times New Roman"/>
          <w:sz w:val="32"/>
          <w:szCs w:val="32"/>
        </w:rPr>
        <w:t>督办。</w:t>
      </w:r>
    </w:p>
    <w:p w14:paraId="37A6739E">
      <w:pPr>
        <w:spacing w:line="580" w:lineRule="exact"/>
        <w:ind w:firstLine="640"/>
        <w:rPr>
          <w:rFonts w:ascii="黑体" w:hAnsi="黑体" w:eastAsia="黑体"/>
          <w:sz w:val="32"/>
          <w:szCs w:val="32"/>
        </w:rPr>
      </w:pPr>
      <w:r>
        <w:rPr>
          <w:rFonts w:hint="eastAsia" w:ascii="黑体" w:hAnsi="黑体" w:eastAsia="黑体"/>
          <w:sz w:val="32"/>
          <w:szCs w:val="32"/>
        </w:rPr>
        <w:t>六、下一步改进工作的措施</w:t>
      </w:r>
    </w:p>
    <w:p w14:paraId="61A6BC3A">
      <w:pPr>
        <w:spacing w:line="580" w:lineRule="exact"/>
        <w:ind w:firstLine="643"/>
        <w:rPr>
          <w:rFonts w:eastAsia="仿宋_GB2312"/>
          <w:sz w:val="32"/>
          <w:szCs w:val="32"/>
        </w:rPr>
      </w:pPr>
      <w:r>
        <w:rPr>
          <w:rFonts w:ascii="Times New Roman" w:hAnsi="Times New Roman" w:eastAsia="楷体_GB2312" w:cs="Times New Roman"/>
          <w:b/>
          <w:bCs/>
          <w:sz w:val="32"/>
          <w:szCs w:val="32"/>
        </w:rPr>
        <w:t>(一)进一步实时跟进问题，强化组织领导。</w:t>
      </w:r>
      <w:r>
        <w:rPr>
          <w:rFonts w:ascii="Times New Roman" w:hAnsi="Times New Roman" w:eastAsia="仿宋_GB2312" w:cs="Times New Roman"/>
          <w:sz w:val="32"/>
          <w:szCs w:val="32"/>
        </w:rPr>
        <w:t>各承办单位</w:t>
      </w:r>
      <w:r>
        <w:rPr>
          <w:rFonts w:hint="eastAsia" w:ascii="Times New Roman" w:hAnsi="Times New Roman" w:eastAsia="仿宋_GB2312" w:cs="Times New Roman"/>
          <w:sz w:val="32"/>
          <w:szCs w:val="32"/>
        </w:rPr>
        <w:t>持续</w:t>
      </w:r>
      <w:r>
        <w:rPr>
          <w:rFonts w:ascii="Times New Roman" w:hAnsi="Times New Roman" w:eastAsia="仿宋_GB2312" w:cs="Times New Roman"/>
          <w:sz w:val="32"/>
          <w:szCs w:val="32"/>
        </w:rPr>
        <w:t>加强对12345热线平台转派事项处理全程监管，及时</w:t>
      </w:r>
      <w:r>
        <w:rPr>
          <w:rFonts w:hint="eastAsia" w:ascii="Times New Roman" w:hAnsi="Times New Roman" w:eastAsia="仿宋_GB2312" w:cs="Times New Roman"/>
          <w:sz w:val="32"/>
          <w:szCs w:val="32"/>
        </w:rPr>
        <w:t>跟进</w:t>
      </w:r>
      <w:r>
        <w:rPr>
          <w:rFonts w:ascii="Times New Roman" w:hAnsi="Times New Roman" w:eastAsia="仿宋_GB2312" w:cs="Times New Roman"/>
          <w:sz w:val="32"/>
          <w:szCs w:val="32"/>
        </w:rPr>
        <w:t>热线工单按时办结</w:t>
      </w:r>
      <w:r>
        <w:rPr>
          <w:rFonts w:hint="eastAsia" w:ascii="Times New Roman" w:hAnsi="Times New Roman" w:eastAsia="仿宋_GB2312" w:cs="Times New Roman"/>
          <w:sz w:val="32"/>
          <w:szCs w:val="32"/>
        </w:rPr>
        <w:t>；不断</w:t>
      </w:r>
      <w:r>
        <w:rPr>
          <w:rFonts w:ascii="Times New Roman" w:hAnsi="Times New Roman" w:eastAsia="仿宋_GB2312" w:cs="Times New Roman"/>
          <w:sz w:val="32"/>
          <w:szCs w:val="32"/>
        </w:rPr>
        <w:t>完善12345热线知识库，</w:t>
      </w:r>
      <w:r>
        <w:rPr>
          <w:rFonts w:hint="eastAsia" w:ascii="Times New Roman" w:hAnsi="Times New Roman" w:eastAsia="仿宋_GB2312" w:cs="Times New Roman"/>
          <w:sz w:val="32"/>
          <w:szCs w:val="32"/>
        </w:rPr>
        <w:t>及时</w:t>
      </w:r>
      <w:r>
        <w:rPr>
          <w:rFonts w:ascii="Times New Roman" w:hAnsi="Times New Roman" w:eastAsia="仿宋_GB2312" w:cs="Times New Roman"/>
          <w:sz w:val="32"/>
          <w:szCs w:val="32"/>
        </w:rPr>
        <w:t>更新专业知识内容，推送最新政策和热点问题答复，着力建设“权威准确、标准统一、实时更新、共建共享”的市县两级12345热线知识库。</w:t>
      </w:r>
    </w:p>
    <w:p w14:paraId="2B63E560">
      <w:pPr>
        <w:spacing w:line="580" w:lineRule="exact"/>
        <w:ind w:firstLine="643"/>
        <w:rPr>
          <w:rFonts w:eastAsia="仿宋_GB2312"/>
          <w:sz w:val="32"/>
          <w:szCs w:val="32"/>
        </w:rPr>
      </w:pPr>
      <w:r>
        <w:rPr>
          <w:rFonts w:ascii="Times New Roman" w:hAnsi="Times New Roman" w:eastAsia="楷体_GB2312" w:cs="Times New Roman"/>
          <w:b/>
          <w:bCs/>
          <w:sz w:val="32"/>
          <w:szCs w:val="32"/>
        </w:rPr>
        <w:t>（二）进一步强化首问负责制，规范工单回退。</w:t>
      </w:r>
      <w:r>
        <w:rPr>
          <w:rFonts w:ascii="Times New Roman" w:hAnsi="Times New Roman" w:eastAsia="仿宋_GB2312" w:cs="Times New Roman"/>
          <w:sz w:val="32"/>
          <w:szCs w:val="32"/>
        </w:rPr>
        <w:t>按照“首接即办、全程跟踪、负责到底”的原则，承办单位主动担责，高效满意办结市民诉求，</w:t>
      </w:r>
      <w:r>
        <w:rPr>
          <w:rFonts w:hint="eastAsia" w:ascii="Times New Roman" w:hAnsi="Times New Roman" w:eastAsia="仿宋_GB2312" w:cs="Times New Roman"/>
          <w:sz w:val="32"/>
          <w:szCs w:val="32"/>
        </w:rPr>
        <w:t>保持</w:t>
      </w:r>
      <w:r>
        <w:rPr>
          <w:rFonts w:ascii="Times New Roman" w:hAnsi="Times New Roman" w:eastAsia="仿宋_GB2312" w:cs="Times New Roman"/>
          <w:sz w:val="32"/>
          <w:szCs w:val="32"/>
        </w:rPr>
        <w:t>热线及时响应率、及时办结率均达到100%，群众满意率达9</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%以上。同时，加强县12345热线平台工作人员业务培训，提升工单转派精准性，不断健全工单回退留痕机制。</w:t>
      </w:r>
    </w:p>
    <w:p w14:paraId="1AF824F4">
      <w:pPr>
        <w:spacing w:line="580" w:lineRule="exact"/>
        <w:ind w:firstLine="643"/>
        <w:rPr>
          <w:rFonts w:eastAsia="仿宋_GB2312"/>
          <w:sz w:val="32"/>
          <w:szCs w:val="32"/>
        </w:rPr>
      </w:pPr>
      <w:r>
        <w:rPr>
          <w:rFonts w:ascii="Times New Roman" w:hAnsi="Times New Roman" w:eastAsia="楷体_GB2312" w:cs="Times New Roman"/>
          <w:b/>
          <w:bCs/>
          <w:sz w:val="32"/>
          <w:szCs w:val="32"/>
        </w:rPr>
        <w:t>（三）进一步严格时间节点，及时跟进办理。</w:t>
      </w:r>
      <w:r>
        <w:rPr>
          <w:rFonts w:ascii="Times New Roman" w:hAnsi="Times New Roman" w:eastAsia="仿宋_GB2312" w:cs="Times New Roman"/>
          <w:sz w:val="32"/>
          <w:szCs w:val="32"/>
        </w:rPr>
        <w:t>严格按照《山丹县推行“接诉即办”改革工作实施方案》要求及时跟进办理。各承办单位需在1小时内完成签收，3小时内向热线平台反馈转办的事项受理意见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对于省、市12345热线平台转派件和紧急派件需在3小时、24小时、3天内回复。</w:t>
      </w:r>
    </w:p>
    <w:p w14:paraId="0D99C51D">
      <w:pPr>
        <w:spacing w:line="580" w:lineRule="exact"/>
        <w:ind w:firstLine="643"/>
        <w:rPr>
          <w:rFonts w:ascii="Times New Roman" w:hAnsi="Times New Roman" w:eastAsia="仿宋_GB2312" w:cs="Times New Roman"/>
          <w:sz w:val="32"/>
          <w:szCs w:val="32"/>
        </w:rPr>
      </w:pPr>
      <w:r>
        <w:rPr>
          <w:rFonts w:ascii="Times New Roman" w:hAnsi="Times New Roman" w:eastAsia="楷体_GB2312" w:cs="Times New Roman"/>
          <w:b/>
          <w:bCs/>
          <w:sz w:val="32"/>
          <w:szCs w:val="32"/>
        </w:rPr>
        <w:t>（四）进一步落实“双反馈”工作要求，提升群众满意率。</w:t>
      </w:r>
      <w:r>
        <w:rPr>
          <w:rFonts w:ascii="Times New Roman" w:hAnsi="Times New Roman" w:eastAsia="仿宋_GB2312" w:cs="Times New Roman"/>
          <w:sz w:val="32"/>
          <w:szCs w:val="32"/>
        </w:rPr>
        <w:t>在反馈办理结果过程中，各承办单位必须以当面或电话的形式联系诉求人答复处理结果，并将处理结果以规范的文本格式反馈县12345热线平台。市12345热线平台在收到承办单位办理结果的反馈后，2小时内通过热线平台系统电话回访诉求人，进行满意度调查。</w:t>
      </w:r>
    </w:p>
    <w:p w14:paraId="2F4044BD">
      <w:pPr>
        <w:spacing w:line="580" w:lineRule="exact"/>
        <w:ind w:firstLine="643"/>
        <w:rPr>
          <w:rFonts w:ascii="仿宋_GB2312" w:eastAsia="仿宋_GB2312"/>
          <w:sz w:val="30"/>
          <w:szCs w:val="30"/>
        </w:rPr>
      </w:pPr>
      <w:r>
        <w:rPr>
          <w:rFonts w:ascii="Times New Roman" w:hAnsi="Times New Roman" w:eastAsia="楷体_GB2312" w:cs="Times New Roman"/>
          <w:b/>
          <w:bCs/>
          <w:sz w:val="32"/>
          <w:szCs w:val="32"/>
        </w:rPr>
        <w:t>（五）进一步强化督办通报，力促工作落实。</w:t>
      </w:r>
      <w:r>
        <w:rPr>
          <w:rFonts w:ascii="Times New Roman" w:hAnsi="Times New Roman" w:eastAsia="仿宋_GB2312" w:cs="Times New Roman"/>
          <w:sz w:val="32"/>
          <w:szCs w:val="32"/>
        </w:rPr>
        <w:t>将“接诉即办”工作纳入年度工作实绩考核指标体系，采取实时督办、通报督办、联合督办、执纪问责等方式，加大对“接诉即办”工作的督查通报力度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同时，要逐步提升转派工单一次办结率，各承办单位要进一步优转派工单办理流程，加快办理效率，做好沟通答复和解释说明工作，力争转派工单均能一次性办结，提升群众满意率。</w:t>
      </w:r>
    </w:p>
    <w:p w14:paraId="3AFD6CAD">
      <w:pPr>
        <w:spacing w:line="580" w:lineRule="exact"/>
        <w:ind w:left="420"/>
        <w:rPr>
          <w:rFonts w:ascii="黑体" w:hAnsi="黑体" w:eastAsia="黑体"/>
          <w:sz w:val="32"/>
          <w:szCs w:val="32"/>
        </w:rPr>
      </w:pPr>
    </w:p>
    <w:p w14:paraId="5562862B">
      <w:pPr>
        <w:spacing w:line="580" w:lineRule="exact"/>
        <w:ind w:firstLine="420"/>
      </w:pPr>
    </w:p>
    <w:p w14:paraId="5662534D">
      <w:pPr>
        <w:spacing w:line="580" w:lineRule="exact"/>
        <w:ind w:firstLine="420"/>
      </w:pPr>
    </w:p>
    <w:p w14:paraId="5F33C559">
      <w:pPr>
        <w:spacing w:line="580" w:lineRule="exact"/>
        <w:ind w:firstLine="420"/>
      </w:pPr>
    </w:p>
    <w:p w14:paraId="59373F19">
      <w:pPr>
        <w:spacing w:line="580" w:lineRule="exact"/>
        <w:ind w:firstLine="420"/>
      </w:pPr>
    </w:p>
    <w:p w14:paraId="6EFCAD5C">
      <w:pPr>
        <w:spacing w:line="580" w:lineRule="exact"/>
        <w:ind w:firstLine="420"/>
      </w:pPr>
    </w:p>
    <w:p w14:paraId="5C477226">
      <w:pPr>
        <w:spacing w:line="580" w:lineRule="exact"/>
        <w:ind w:firstLine="420"/>
      </w:pPr>
    </w:p>
    <w:p w14:paraId="18F2909A">
      <w:pPr>
        <w:spacing w:line="580" w:lineRule="exact"/>
        <w:ind w:firstLine="420"/>
      </w:pPr>
    </w:p>
    <w:p w14:paraId="2BAFAA81">
      <w:pPr>
        <w:spacing w:line="580" w:lineRule="exact"/>
        <w:ind w:firstLine="420"/>
      </w:pPr>
    </w:p>
    <w:p w14:paraId="4BE531E7">
      <w:pPr>
        <w:spacing w:line="580" w:lineRule="exact"/>
        <w:ind w:firstLine="4160"/>
        <w:rPr>
          <w:rFonts w:ascii="仿宋_GB2312" w:hAnsi="仿宋_GB2312" w:eastAsia="仿宋_GB2312" w:cs="仿宋_GB2312"/>
          <w:sz w:val="32"/>
          <w:szCs w:val="32"/>
        </w:rPr>
      </w:pPr>
    </w:p>
    <w:p w14:paraId="1391BF49">
      <w:pPr>
        <w:spacing w:line="580" w:lineRule="exact"/>
        <w:ind w:firstLine="4160"/>
        <w:rPr>
          <w:rFonts w:ascii="仿宋_GB2312" w:hAnsi="仿宋_GB2312" w:eastAsia="仿宋_GB2312" w:cs="仿宋_GB2312"/>
          <w:sz w:val="32"/>
          <w:szCs w:val="32"/>
        </w:rPr>
      </w:pPr>
    </w:p>
    <w:p w14:paraId="281BF1A8">
      <w:pPr>
        <w:spacing w:line="580" w:lineRule="exact"/>
        <w:ind w:firstLine="4160"/>
        <w:rPr>
          <w:rFonts w:ascii="仿宋_GB2312" w:hAnsi="仿宋_GB2312" w:eastAsia="仿宋_GB2312" w:cs="仿宋_GB2312"/>
          <w:sz w:val="32"/>
          <w:szCs w:val="32"/>
        </w:rPr>
      </w:pPr>
    </w:p>
    <w:p w14:paraId="04F6CA76">
      <w:pPr>
        <w:spacing w:line="580" w:lineRule="exact"/>
        <w:ind w:firstLine="4160"/>
        <w:rPr>
          <w:rFonts w:ascii="仿宋_GB2312" w:hAnsi="仿宋_GB2312" w:eastAsia="仿宋_GB2312" w:cs="仿宋_GB2312"/>
          <w:sz w:val="32"/>
          <w:szCs w:val="32"/>
        </w:rPr>
      </w:pPr>
    </w:p>
    <w:p w14:paraId="27AF7E39">
      <w:pPr>
        <w:spacing w:line="580" w:lineRule="exact"/>
        <w:ind w:firstLine="4160"/>
        <w:rPr>
          <w:rFonts w:ascii="仿宋_GB2312" w:hAnsi="仿宋_GB2312" w:eastAsia="仿宋_GB2312" w:cs="仿宋_GB2312"/>
          <w:sz w:val="32"/>
          <w:szCs w:val="32"/>
        </w:rPr>
      </w:pPr>
    </w:p>
    <w:p w14:paraId="7BDB8468">
      <w:pPr>
        <w:spacing w:line="580" w:lineRule="exact"/>
        <w:ind w:firstLine="4160"/>
        <w:rPr>
          <w:rFonts w:ascii="仿宋_GB2312" w:hAnsi="仿宋_GB2312" w:eastAsia="仿宋_GB2312" w:cs="仿宋_GB2312"/>
          <w:sz w:val="32"/>
          <w:szCs w:val="32"/>
        </w:rPr>
      </w:pPr>
    </w:p>
    <w:p w14:paraId="3AA0F842">
      <w:pPr>
        <w:spacing w:line="580" w:lineRule="exact"/>
        <w:ind w:firstLine="4160"/>
        <w:rPr>
          <w:rFonts w:ascii="仿宋_GB2312" w:hAnsi="仿宋_GB2312" w:eastAsia="仿宋_GB2312" w:cs="仿宋_GB2312"/>
          <w:sz w:val="32"/>
          <w:szCs w:val="32"/>
        </w:rPr>
      </w:pPr>
    </w:p>
    <w:p w14:paraId="63D3AAB4">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信息化建设项目支出绩效自评报告</w:t>
      </w:r>
    </w:p>
    <w:p w14:paraId="0B1170C6">
      <w:pPr>
        <w:spacing w:line="580" w:lineRule="exact"/>
        <w:ind w:firstLine="640"/>
        <w:rPr>
          <w:rFonts w:ascii="Times New Roman" w:eastAsia="楷体_GB2312"/>
          <w:sz w:val="32"/>
          <w:szCs w:val="32"/>
        </w:rPr>
      </w:pPr>
    </w:p>
    <w:p w14:paraId="0D23B1EA">
      <w:pPr>
        <w:spacing w:line="580" w:lineRule="exact"/>
        <w:ind w:firstLine="640"/>
        <w:rPr>
          <w:rFonts w:eastAsia="黑体"/>
          <w:sz w:val="32"/>
          <w:szCs w:val="32"/>
        </w:rPr>
      </w:pPr>
      <w:r>
        <w:rPr>
          <w:rFonts w:hint="eastAsia" w:eastAsia="黑体"/>
          <w:sz w:val="32"/>
          <w:szCs w:val="32"/>
        </w:rPr>
        <w:t>一、项目基本情况</w:t>
      </w:r>
    </w:p>
    <w:p w14:paraId="0BC71161">
      <w:pPr>
        <w:pStyle w:val="189"/>
        <w:numPr>
          <w:ilvl w:val="0"/>
          <w:numId w:val="10"/>
        </w:numPr>
        <w:spacing w:line="580" w:lineRule="exact"/>
        <w:rPr>
          <w:rFonts w:ascii="楷体_GB2312" w:eastAsia="楷体_GB2312"/>
          <w:b/>
          <w:sz w:val="32"/>
          <w:szCs w:val="32"/>
        </w:rPr>
      </w:pPr>
      <w:r>
        <w:rPr>
          <w:rFonts w:hint="eastAsia" w:ascii="楷体_GB2312" w:eastAsia="楷体_GB2312"/>
          <w:b/>
          <w:sz w:val="32"/>
          <w:szCs w:val="32"/>
        </w:rPr>
        <w:t>项目概况</w:t>
      </w:r>
    </w:p>
    <w:p w14:paraId="2168C812">
      <w:pPr>
        <w:spacing w:line="580" w:lineRule="exact"/>
        <w:ind w:firstLine="640"/>
        <w:rPr>
          <w:rFonts w:ascii="仿宋_GB2312" w:eastAsia="仿宋_GB2312"/>
          <w:spacing w:val="-4"/>
          <w:sz w:val="32"/>
          <w:szCs w:val="32"/>
        </w:rPr>
      </w:pPr>
      <w:r>
        <w:rPr>
          <w:rFonts w:hint="eastAsia" w:ascii="仿宋_GB2312" w:eastAsia="仿宋_GB2312"/>
          <w:sz w:val="32"/>
          <w:szCs w:val="32"/>
        </w:rPr>
        <w:t>我办牵头实施的信息化建设项目主要包括山丹县电子政务外网IPv6升级改造、山丹县县级延伸乡镇视频会议系</w:t>
      </w:r>
      <w:r>
        <w:rPr>
          <w:rFonts w:hint="eastAsia" w:ascii="仿宋_GB2312" w:eastAsia="仿宋_GB2312"/>
          <w:spacing w:val="-4"/>
          <w:sz w:val="32"/>
          <w:szCs w:val="32"/>
        </w:rPr>
        <w:t>统建设、山丹县廉情监督热线3个项目，各项目概况具体如下：</w:t>
      </w:r>
    </w:p>
    <w:p w14:paraId="380086B2">
      <w:pPr>
        <w:spacing w:line="580" w:lineRule="exact"/>
        <w:ind w:firstLine="640"/>
        <w:rPr>
          <w:rFonts w:ascii="仿宋_GB2312" w:eastAsia="仿宋_GB2312"/>
          <w:spacing w:val="-4"/>
          <w:sz w:val="32"/>
          <w:szCs w:val="32"/>
        </w:rPr>
      </w:pPr>
      <w:r>
        <w:rPr>
          <w:rFonts w:hint="eastAsia" w:ascii="黑体" w:hAnsi="黑体" w:eastAsia="黑体"/>
          <w:sz w:val="32"/>
          <w:szCs w:val="32"/>
        </w:rPr>
        <w:t>1.山丹县电子政务外网IPv6升级改造项目。</w:t>
      </w:r>
      <w:r>
        <w:rPr>
          <w:rFonts w:hint="eastAsia" w:ascii="仿宋_GB2312" w:eastAsia="仿宋_GB2312"/>
          <w:spacing w:val="-4"/>
          <w:sz w:val="32"/>
          <w:szCs w:val="32"/>
        </w:rPr>
        <w:t>为贯彻落实市委、市政府《关于推进电子政务外网IPv6应用工作的通知》要求，各县区须完成县级政务外网IPv6改造，2022年县政府第17次常会议纪要（第十三条）讨论通过实施该项目。县财政投资约80万元，承担项目网络安全、管理设备及电子政务外网等保二级测评等费用由，剩余网络接入部分设备由各通信运营商负责投资建设。</w:t>
      </w:r>
    </w:p>
    <w:p w14:paraId="062F7503">
      <w:pPr>
        <w:spacing w:line="580" w:lineRule="exact"/>
        <w:ind w:firstLine="640"/>
        <w:rPr>
          <w:rFonts w:ascii="仿宋_GB2312" w:eastAsia="仿宋_GB2312"/>
          <w:sz w:val="32"/>
          <w:szCs w:val="32"/>
        </w:rPr>
      </w:pPr>
      <w:r>
        <w:rPr>
          <w:rFonts w:hint="eastAsia" w:ascii="仿宋_GB2312" w:eastAsia="仿宋_GB2312"/>
          <w:sz w:val="32"/>
          <w:szCs w:val="32"/>
        </w:rPr>
        <w:t>该项目主要实施内容有6项，具体如下：</w:t>
      </w:r>
      <w:r>
        <w:rPr>
          <w:rFonts w:hAnsi="Calibri" w:eastAsia="仿宋_GB2312" w:cs="Calibri"/>
          <w:sz w:val="32"/>
          <w:szCs w:val="32"/>
        </w:rPr>
        <w:t>①</w:t>
      </w:r>
      <w:r>
        <w:rPr>
          <w:rFonts w:hint="eastAsia" w:ascii="楷体_GB2312" w:hAnsi="楷体_GB2312" w:eastAsia="楷体_GB2312" w:cs="楷体_GB2312"/>
          <w:b/>
          <w:bCs/>
          <w:sz w:val="32"/>
          <w:szCs w:val="32"/>
        </w:rPr>
        <w:t>骨干网络IPv4/IPv6双栈能力升级。</w:t>
      </w:r>
      <w:r>
        <w:rPr>
          <w:rFonts w:hint="eastAsia" w:ascii="仿宋_GB2312" w:eastAsia="仿宋_GB2312"/>
          <w:sz w:val="32"/>
          <w:szCs w:val="32"/>
        </w:rPr>
        <w:t>为满足我县县乡村三级全量接入政务外网，确保政务服务的业务系统、智慧城市、5G、物联网应用等各项大流量业务系统部署，设计建设带宽10G的核心节点。骨干网络的所有核心设备均为主备两台，保证整体网络的高可靠性。所使用的广域网核心路由器不仅能支持传统的MPLS VPN技术，同时还要支持SRV6技术。城域网核心交换机需支持跨设备的链路聚合技术。</w:t>
      </w:r>
      <w:r>
        <w:rPr>
          <w:rFonts w:hAnsi="Calibri" w:eastAsia="仿宋_GB2312" w:cs="Calibri"/>
          <w:sz w:val="32"/>
          <w:szCs w:val="32"/>
        </w:rPr>
        <w:t>②</w:t>
      </w:r>
      <w:r>
        <w:rPr>
          <w:rFonts w:hint="eastAsia" w:ascii="楷体_GB2312" w:hAnsi="楷体_GB2312" w:eastAsia="楷体_GB2312" w:cs="楷体_GB2312"/>
          <w:b/>
          <w:bCs/>
          <w:sz w:val="32"/>
          <w:szCs w:val="32"/>
        </w:rPr>
        <w:t>划分政务外网业务区。</w:t>
      </w:r>
      <w:r>
        <w:rPr>
          <w:rFonts w:hint="eastAsia" w:ascii="仿宋_GB2312" w:eastAsia="仿宋_GB2312"/>
          <w:sz w:val="32"/>
          <w:szCs w:val="32"/>
        </w:rPr>
        <w:t>根据国家电子政务外网安全接入平台技术规范，将电子政务外网分为三大业务区域：公用网络区域、专用网络区域和互联网接入区域，各个区域间采用安全统一接入平台进行业务访问，实现统一入口，统一认证。</w:t>
      </w:r>
      <w:r>
        <w:rPr>
          <w:rFonts w:hAnsi="Calibri" w:eastAsia="仿宋_GB2312" w:cs="Calibri"/>
          <w:sz w:val="32"/>
          <w:szCs w:val="32"/>
        </w:rPr>
        <w:t>③</w:t>
      </w:r>
      <w:r>
        <w:rPr>
          <w:rFonts w:hint="eastAsia" w:ascii="楷体_GB2312" w:hAnsi="楷体_GB2312" w:eastAsia="楷体_GB2312" w:cs="楷体_GB2312"/>
          <w:b/>
          <w:bCs/>
          <w:sz w:val="32"/>
          <w:szCs w:val="32"/>
        </w:rPr>
        <w:t>建设政务外网安全防护体系。</w:t>
      </w:r>
      <w:r>
        <w:rPr>
          <w:rFonts w:hint="eastAsia" w:ascii="仿宋_GB2312" w:eastAsia="仿宋_GB2312"/>
          <w:sz w:val="32"/>
          <w:szCs w:val="32"/>
        </w:rPr>
        <w:t>为实现我县电子政务外网全面立体的防护效果，综合安全网关需支持传统防火墙、VPN、入侵防御、防病毒、数据防泄漏、带宽管理、Anti-DDoS、URL过滤、反垃圾邮件等多种功能于一身，且支持全局配置视图和一体化策略管理。实现我县电子政务外网主动防护，态势感知系统与安全设备保持联动，一旦检测到现在发生了安全攻击情况或者即将发生安全攻击现象，</w:t>
      </w:r>
      <w:r>
        <w:rPr>
          <w:rFonts w:hint="eastAsia" w:ascii="仿宋_GB2312" w:eastAsia="仿宋_GB2312"/>
          <w:spacing w:val="-6"/>
          <w:sz w:val="32"/>
          <w:szCs w:val="32"/>
        </w:rPr>
        <w:t>可做出及时的攻击威胁相应防护措施，自动部署安全防护策略。</w:t>
      </w:r>
      <w:r>
        <w:rPr>
          <w:rFonts w:hint="eastAsia" w:ascii="宋体" w:hAnsi="宋体" w:eastAsia="宋体" w:cs="宋体"/>
          <w:spacing w:val="-6"/>
          <w:sz w:val="32"/>
          <w:szCs w:val="32"/>
        </w:rPr>
        <w:t>④</w:t>
      </w:r>
      <w:r>
        <w:rPr>
          <w:rFonts w:hint="eastAsia" w:ascii="楷体_GB2312" w:hAnsi="楷体_GB2312" w:eastAsia="楷体_GB2312" w:cs="楷体_GB2312"/>
          <w:b/>
          <w:bCs/>
          <w:sz w:val="32"/>
          <w:szCs w:val="32"/>
        </w:rPr>
        <w:t>建设智能运维管理系统。</w:t>
      </w:r>
      <w:r>
        <w:rPr>
          <w:rFonts w:hint="eastAsia" w:ascii="仿宋_GB2312" w:eastAsia="仿宋_GB2312"/>
          <w:sz w:val="32"/>
          <w:szCs w:val="32"/>
        </w:rPr>
        <w:t>为降低运维成本，提升运维效率，智能运维管理系统需支持交换机、路由器、防火墙、WLAN、PON网络等多种设备的统一管理，支持多厂商设备统一视图资源，拓扑、故障、性能以及智能配置功能，同时支持第三方设备的定制能力与告警北向接口，帮助政务外网打造专属的统一管理系统。</w:t>
      </w:r>
      <w:r>
        <w:rPr>
          <w:rFonts w:hint="eastAsia" w:ascii="宋体" w:hAnsi="宋体" w:eastAsia="宋体" w:cs="宋体"/>
          <w:b/>
          <w:bCs/>
          <w:sz w:val="32"/>
          <w:szCs w:val="32"/>
        </w:rPr>
        <w:t>⑤</w:t>
      </w:r>
      <w:r>
        <w:rPr>
          <w:rFonts w:hint="eastAsia" w:ascii="楷体_GB2312" w:hAnsi="楷体_GB2312" w:eastAsia="楷体_GB2312" w:cs="楷体_GB2312"/>
          <w:b/>
          <w:bCs/>
          <w:sz w:val="32"/>
          <w:szCs w:val="32"/>
        </w:rPr>
        <w:t>对重点办公场所局域网进行光改。</w:t>
      </w:r>
      <w:r>
        <w:rPr>
          <w:rFonts w:hint="eastAsia" w:ascii="仿宋_GB2312" w:eastAsia="仿宋_GB2312"/>
          <w:sz w:val="32"/>
          <w:szCs w:val="32"/>
        </w:rPr>
        <w:t>为解决重点办公场所设备陈旧、线路老化、综合布线杂乱等问题，依托山丹县电子政务外网的升级改造工作，通信运营商要对局域网接入设备进行升级，具体改造方式为县信息办中心机房部署OLT设备与核心交换机对接，利用与各楼宇间级联光缆、分光器、各房间皮线光缆、4口千兆光猫完成办公室接入，实现楼间1000M级联，各房间1000M接入的全光网组网。</w:t>
      </w:r>
      <w:r>
        <w:rPr>
          <w:rFonts w:hint="eastAsia" w:ascii="仿宋_GB2312" w:hAnsi="仿宋_GB2312" w:eastAsia="仿宋_GB2312" w:cs="仿宋_GB2312"/>
          <w:sz w:val="32"/>
          <w:szCs w:val="32"/>
        </w:rPr>
        <w:t>⑥</w:t>
      </w:r>
      <w:r>
        <w:rPr>
          <w:rFonts w:hint="eastAsia" w:ascii="楷体_GB2312" w:hAnsi="楷体_GB2312" w:eastAsia="楷体_GB2312" w:cs="楷体_GB2312"/>
          <w:b/>
          <w:bCs/>
          <w:sz w:val="32"/>
          <w:szCs w:val="32"/>
        </w:rPr>
        <w:t>县信息办中心机房改造。</w:t>
      </w:r>
      <w:r>
        <w:rPr>
          <w:rFonts w:hint="eastAsia" w:ascii="仿宋_GB2312" w:eastAsia="仿宋_GB2312"/>
          <w:sz w:val="32"/>
          <w:szCs w:val="32"/>
        </w:rPr>
        <w:t>按照网络安全等保二级测评要求，在现有机房已有设备和装修的基础上对机房防火、空调、电气、门禁等系统进行升级改造，并安装视频监控系统，确保机房设备运行的高度可靠性、安全性，延长设备的使用寿命。</w:t>
      </w:r>
    </w:p>
    <w:p w14:paraId="642864CF">
      <w:pPr>
        <w:spacing w:line="580" w:lineRule="exact"/>
        <w:ind w:firstLine="640"/>
        <w:rPr>
          <w:rFonts w:ascii="仿宋_GB2312" w:eastAsia="仿宋_GB2312"/>
          <w:sz w:val="32"/>
          <w:szCs w:val="32"/>
        </w:rPr>
      </w:pPr>
      <w:r>
        <w:rPr>
          <w:rFonts w:hint="eastAsia" w:ascii="黑体" w:hAnsi="黑体" w:eastAsia="黑体"/>
          <w:sz w:val="32"/>
          <w:szCs w:val="32"/>
        </w:rPr>
        <w:t>2.山丹县县级延伸乡镇视频会议系统建设项目。</w:t>
      </w:r>
      <w:r>
        <w:rPr>
          <w:rFonts w:hint="eastAsia" w:ascii="仿宋_GB2312" w:hAnsi="仿宋_GB2312" w:eastAsia="仿宋_GB2312" w:cs="仿宋_GB2312"/>
          <w:color w:val="171A1D"/>
          <w:sz w:val="32"/>
          <w:szCs w:val="32"/>
          <w:shd w:val="clear" w:color="auto" w:fill="FFFFFF"/>
        </w:rPr>
        <w:t>为进一步推进我县信息化建设进程，提升公共突发事件应急调度能力，提高行政效率，节约行政成本，着力</w:t>
      </w:r>
      <w:r>
        <w:rPr>
          <w:rFonts w:hint="eastAsia" w:ascii="仿宋_GB2312" w:hAnsi="仿宋_GB2312" w:eastAsia="仿宋_GB2312" w:cs="仿宋_GB2312"/>
          <w:color w:val="171A1D"/>
          <w:spacing w:val="-6"/>
          <w:sz w:val="32"/>
          <w:szCs w:val="32"/>
          <w:shd w:val="clear" w:color="auto" w:fill="FFFFFF"/>
        </w:rPr>
        <w:t>解决基层信息化水平短板，在原有省市县三级高清会议系统的基础上，建设乡镇一级的高清视频会议系统，全面实现省、市、县、乡科学化、可视化、</w:t>
      </w:r>
      <w:r>
        <w:rPr>
          <w:rFonts w:hint="eastAsia" w:ascii="仿宋_GB2312" w:hAnsi="仿宋_GB2312" w:eastAsia="仿宋_GB2312" w:cs="仿宋_GB2312"/>
          <w:color w:val="171A1D"/>
          <w:sz w:val="32"/>
          <w:szCs w:val="32"/>
          <w:shd w:val="clear" w:color="auto" w:fill="FFFFFF"/>
        </w:rPr>
        <w:t>一体化指挥调度通信体系，经</w:t>
      </w:r>
      <w:r>
        <w:rPr>
          <w:rFonts w:hint="eastAsia" w:ascii="仿宋_GB2312" w:hAnsi="仿宋_GB2312" w:eastAsia="仿宋_GB2312" w:cs="仿宋_GB2312"/>
          <w:color w:val="171A1D"/>
          <w:spacing w:val="-6"/>
          <w:sz w:val="32"/>
          <w:szCs w:val="32"/>
          <w:shd w:val="clear" w:color="auto" w:fill="FFFFFF"/>
        </w:rPr>
        <w:t>2022年县政府第20次常务会议纪要（第十三条）讨论通过实施，</w:t>
      </w:r>
      <w:r>
        <w:rPr>
          <w:rFonts w:hint="eastAsia" w:ascii="仿宋" w:hAnsi="仿宋" w:eastAsia="仿宋" w:cs="仿宋"/>
          <w:sz w:val="32"/>
          <w:szCs w:val="32"/>
        </w:rPr>
        <w:t>项目总投资约78.</w:t>
      </w:r>
      <w:r>
        <w:rPr>
          <w:rFonts w:ascii="仿宋" w:hAnsi="仿宋" w:eastAsia="仿宋" w:cs="仿宋"/>
          <w:sz w:val="32"/>
          <w:szCs w:val="32"/>
        </w:rPr>
        <w:t>82</w:t>
      </w:r>
      <w:r>
        <w:rPr>
          <w:rFonts w:hint="eastAsia" w:ascii="仿宋" w:hAnsi="仿宋" w:eastAsia="仿宋" w:cs="仿宋"/>
          <w:sz w:val="32"/>
          <w:szCs w:val="32"/>
        </w:rPr>
        <w:t>万元。</w:t>
      </w:r>
    </w:p>
    <w:p w14:paraId="20DE4AF2">
      <w:pPr>
        <w:spacing w:line="580" w:lineRule="exact"/>
        <w:ind w:firstLine="640"/>
        <w:rPr>
          <w:rFonts w:ascii="仿宋_GB2312" w:eastAsia="仿宋_GB2312"/>
          <w:spacing w:val="-4"/>
          <w:sz w:val="32"/>
          <w:szCs w:val="32"/>
        </w:rPr>
      </w:pPr>
      <w:r>
        <w:rPr>
          <w:rFonts w:hint="eastAsia" w:ascii="仿宋_GB2312" w:eastAsia="仿宋_GB2312"/>
          <w:sz w:val="32"/>
          <w:szCs w:val="32"/>
        </w:rPr>
        <w:t>该项目使用政务专网联通各乡镇高清视频会议系统，实</w:t>
      </w:r>
      <w:r>
        <w:rPr>
          <w:rFonts w:hint="eastAsia" w:ascii="仿宋_GB2312" w:eastAsia="仿宋_GB2312"/>
          <w:spacing w:val="-4"/>
          <w:sz w:val="32"/>
          <w:szCs w:val="32"/>
        </w:rPr>
        <w:t>现音频、视频、数据、即时通信全面覆盖。主要建设内容如下：</w:t>
      </w:r>
    </w:p>
    <w:p w14:paraId="3E43AE84">
      <w:pPr>
        <w:spacing w:line="580" w:lineRule="exact"/>
        <w:rPr>
          <w:rFonts w:ascii="仿宋_GB2312" w:eastAsia="仿宋_GB2312"/>
          <w:sz w:val="32"/>
          <w:szCs w:val="32"/>
        </w:rPr>
      </w:pPr>
      <w:r>
        <w:rPr>
          <w:rFonts w:hAnsi="Calibri" w:eastAsia="楷体_GB2312" w:cs="Calibri"/>
          <w:b/>
          <w:bCs/>
          <w:sz w:val="32"/>
          <w:szCs w:val="32"/>
        </w:rPr>
        <w:t>①</w:t>
      </w:r>
      <w:r>
        <w:rPr>
          <w:rFonts w:hint="eastAsia" w:ascii="楷体_GB2312" w:hAnsi="楷体_GB2312" w:eastAsia="楷体_GB2312" w:cs="楷体_GB2312"/>
          <w:b/>
          <w:bCs/>
          <w:sz w:val="32"/>
          <w:szCs w:val="32"/>
        </w:rPr>
        <w:t>主会场设备。</w:t>
      </w:r>
      <w:r>
        <w:rPr>
          <w:rFonts w:hint="eastAsia" w:ascii="仿宋_GB2312" w:eastAsia="仿宋_GB2312"/>
          <w:sz w:val="32"/>
          <w:szCs w:val="32"/>
        </w:rPr>
        <w:t>在县旅游文化创意中心301会议室部署1套</w:t>
      </w:r>
      <w:r>
        <w:rPr>
          <w:rFonts w:ascii="仿宋_GB2312" w:eastAsia="仿宋_GB2312"/>
          <w:sz w:val="32"/>
          <w:szCs w:val="32"/>
        </w:rPr>
        <w:t>极光5视联网终端（VT-AUROR03-00000M</w:t>
      </w:r>
      <w:r>
        <w:rPr>
          <w:rFonts w:hint="eastAsia" w:ascii="仿宋_GB2312" w:eastAsia="仿宋_GB2312"/>
          <w:sz w:val="32"/>
          <w:szCs w:val="32"/>
        </w:rPr>
        <w:t>），做为县乡视频会议的主控设备，并承接省市会议的直播转发，配套视频会议调度软件1套，负责管理所有县乡视频会议设备。</w:t>
      </w:r>
      <w:r>
        <w:rPr>
          <w:rFonts w:hAnsi="Calibri" w:eastAsia="仿宋_GB2312" w:cs="Calibri"/>
          <w:sz w:val="32"/>
          <w:szCs w:val="32"/>
        </w:rPr>
        <w:t>②</w:t>
      </w:r>
      <w:r>
        <w:rPr>
          <w:rFonts w:hint="eastAsia" w:ascii="楷体_GB2312" w:hAnsi="楷体_GB2312" w:eastAsia="楷体_GB2312" w:cs="楷体_GB2312"/>
          <w:b/>
          <w:bCs/>
          <w:sz w:val="32"/>
          <w:szCs w:val="32"/>
        </w:rPr>
        <w:t>分会场设备。</w:t>
      </w:r>
      <w:r>
        <w:rPr>
          <w:rFonts w:hint="eastAsia" w:ascii="仿宋_GB2312" w:eastAsia="仿宋_GB2312"/>
          <w:sz w:val="32"/>
          <w:szCs w:val="32"/>
        </w:rPr>
        <w:t>为8个乡镇配置8台启明2视联网终端，8台98寸大屏幕电视，做为会议投屏设备，确保各乡镇分会场参会人员能够清晰收听收看省市会议。</w:t>
      </w:r>
      <w:r>
        <w:rPr>
          <w:rFonts w:hAnsi="Calibri" w:eastAsia="楷体_GB2312" w:cs="Calibri"/>
          <w:b/>
          <w:bCs/>
          <w:sz w:val="32"/>
          <w:szCs w:val="32"/>
        </w:rPr>
        <w:t>③</w:t>
      </w:r>
      <w:r>
        <w:rPr>
          <w:rFonts w:hint="eastAsia" w:ascii="楷体_GB2312" w:hAnsi="楷体_GB2312" w:eastAsia="楷体_GB2312" w:cs="楷体_GB2312"/>
          <w:b/>
          <w:bCs/>
          <w:sz w:val="32"/>
          <w:szCs w:val="32"/>
        </w:rPr>
        <w:t>共同设备。</w:t>
      </w:r>
      <w:r>
        <w:rPr>
          <w:rFonts w:hint="eastAsia" w:ascii="仿宋_GB2312" w:eastAsia="仿宋_GB2312"/>
          <w:sz w:val="32"/>
          <w:szCs w:val="32"/>
        </w:rPr>
        <w:t>为主会场及各乡镇会场各配置1台控</w:t>
      </w:r>
      <w:r>
        <w:rPr>
          <w:rFonts w:hint="eastAsia" w:ascii="仿宋_GB2312" w:eastAsia="仿宋_GB2312"/>
          <w:spacing w:val="-4"/>
          <w:sz w:val="32"/>
          <w:szCs w:val="32"/>
        </w:rPr>
        <w:t>制终端，作为会议管理、维护、监听使用，保障会议正常召开。</w:t>
      </w:r>
      <w:r>
        <w:rPr>
          <w:rFonts w:hint="eastAsia" w:ascii="宋体" w:hAnsi="宋体" w:eastAsia="宋体" w:cs="宋体"/>
          <w:spacing w:val="-4"/>
          <w:sz w:val="32"/>
          <w:szCs w:val="32"/>
        </w:rPr>
        <w:t>④</w:t>
      </w:r>
      <w:r>
        <w:rPr>
          <w:rFonts w:hint="eastAsia" w:ascii="楷体_GB2312" w:hAnsi="楷体_GB2312" w:eastAsia="楷体_GB2312" w:cs="楷体_GB2312"/>
          <w:b/>
          <w:bCs/>
          <w:sz w:val="32"/>
          <w:szCs w:val="32"/>
        </w:rPr>
        <w:t>技术保障。</w:t>
      </w:r>
      <w:r>
        <w:rPr>
          <w:rFonts w:hint="eastAsia" w:ascii="仿宋_GB2312" w:eastAsia="仿宋_GB2312"/>
          <w:sz w:val="32"/>
          <w:szCs w:val="32"/>
        </w:rPr>
        <w:t>为确保会议系统的兼容性和联通性，采用与省市县高清视频会议系统相同品牌（视联动力）的设备，与省市县三级高清视频会议系统进行无缝对接，实现视频会议系统四级组网。</w:t>
      </w:r>
    </w:p>
    <w:p w14:paraId="05222B0E">
      <w:pPr>
        <w:spacing w:line="580" w:lineRule="exact"/>
        <w:ind w:firstLine="640"/>
      </w:pPr>
      <w:r>
        <w:rPr>
          <w:rFonts w:hint="eastAsia" w:ascii="黑体" w:hAnsi="黑体" w:eastAsia="黑体"/>
          <w:sz w:val="32"/>
          <w:szCs w:val="32"/>
        </w:rPr>
        <w:t>3.山丹县廉情监督热线项目。</w:t>
      </w:r>
      <w:r>
        <w:rPr>
          <w:rFonts w:hint="eastAsia" w:ascii="仿宋" w:hAnsi="仿宋" w:eastAsia="仿宋" w:cs="仿宋"/>
          <w:sz w:val="32"/>
          <w:szCs w:val="32"/>
        </w:rPr>
        <w:t>由我办牵头，县纪</w:t>
      </w:r>
      <w:r>
        <w:rPr>
          <w:rFonts w:hint="eastAsia" w:ascii="仿宋_GB2312" w:eastAsia="仿宋_GB2312"/>
          <w:sz w:val="32"/>
          <w:szCs w:val="32"/>
        </w:rPr>
        <w:t>监委具体实施的</w:t>
      </w:r>
      <w:r>
        <w:rPr>
          <w:rFonts w:hint="eastAsia" w:ascii="仿宋_GB2312" w:hAnsi="仿宋_GB2312" w:eastAsia="仿宋_GB2312" w:cs="仿宋_GB2312"/>
          <w:color w:val="171A1D"/>
          <w:sz w:val="32"/>
          <w:szCs w:val="32"/>
          <w:shd w:val="clear" w:color="auto" w:fill="FFFFFF"/>
        </w:rPr>
        <w:t>山丹县廉情监督热线项目，</w:t>
      </w:r>
      <w:r>
        <w:rPr>
          <w:rFonts w:hint="eastAsia" w:ascii="仿宋_GB2312" w:hAnsi="CESI仿宋-GB2312" w:eastAsia="仿宋_GB2312" w:cs="CESI仿宋-GB2312"/>
          <w:sz w:val="32"/>
          <w:szCs w:val="32"/>
        </w:rPr>
        <w:t>经</w:t>
      </w:r>
      <w:r>
        <w:rPr>
          <w:rFonts w:hint="eastAsia" w:ascii="仿宋_GB2312" w:eastAsia="仿宋_GB2312"/>
          <w:sz w:val="32"/>
          <w:szCs w:val="32"/>
        </w:rPr>
        <w:t>2022年县政府第17次常会议纪要（第十三条）讨论通过实施，</w:t>
      </w:r>
      <w:r>
        <w:rPr>
          <w:rFonts w:hint="eastAsia" w:ascii="仿宋_GB2312" w:hAnsi="仿宋_GB2312" w:eastAsia="仿宋_GB2312" w:cs="仿宋_GB2312"/>
          <w:color w:val="171A1D"/>
          <w:sz w:val="32"/>
          <w:szCs w:val="32"/>
          <w:shd w:val="clear" w:color="auto" w:fill="FFFFFF"/>
        </w:rPr>
        <w:t>该</w:t>
      </w:r>
      <w:r>
        <w:rPr>
          <w:rFonts w:hint="eastAsia" w:ascii="仿宋" w:hAnsi="仿宋" w:eastAsia="仿宋" w:cs="仿宋"/>
          <w:sz w:val="32"/>
          <w:szCs w:val="32"/>
        </w:rPr>
        <w:t>项目总投资约81万元。</w:t>
      </w:r>
      <w:r>
        <w:rPr>
          <w:rFonts w:hint="eastAsia" w:ascii="仿宋_GB2312" w:eastAsia="仿宋_GB2312"/>
          <w:sz w:val="32"/>
          <w:szCs w:val="32"/>
        </w:rPr>
        <w:t>旨在</w:t>
      </w:r>
      <w:bookmarkStart w:id="0" w:name="_Hlk108595258"/>
      <w:r>
        <w:rPr>
          <w:rFonts w:hint="eastAsia" w:ascii="仿宋_GB2312" w:eastAsia="仿宋_GB2312"/>
          <w:sz w:val="32"/>
          <w:szCs w:val="32"/>
        </w:rPr>
        <w:t>构建一个集12388信访举报平台、小微权力“监督一点通”服务平台、甘肃省乡村振兴监督信息平台、12345市民热线、县行政效能监督平台于一体，实现关注一个平台、进入一个窗口、不同问题分类投诉的综合性智慧监督平台。平台拟建设9个手机端服务模块和1个PC端综合纪检监察网络平台，手机端成为联系群众的“连心桥”、为民办事的“服务台”，PC端形成业务数据综合汇集、统计分析功能完备、工作成效清晰明确的纪检监察综合工作平台。</w:t>
      </w:r>
      <w:bookmarkEnd w:id="0"/>
    </w:p>
    <w:p w14:paraId="5FB4F88D">
      <w:pPr>
        <w:spacing w:line="580" w:lineRule="exact"/>
        <w:ind w:firstLine="643"/>
        <w:rPr>
          <w:rFonts w:ascii="楷体_GB2312" w:eastAsia="楷体_GB2312"/>
          <w:b/>
          <w:sz w:val="32"/>
          <w:szCs w:val="32"/>
        </w:rPr>
      </w:pPr>
      <w:r>
        <w:rPr>
          <w:rFonts w:hint="eastAsia" w:ascii="楷体_GB2312" w:eastAsia="楷体_GB2312"/>
          <w:b/>
          <w:sz w:val="32"/>
          <w:szCs w:val="32"/>
        </w:rPr>
        <w:t>（二）项目绩效目标</w:t>
      </w:r>
    </w:p>
    <w:p w14:paraId="73CC05EA">
      <w:pPr>
        <w:spacing w:line="580" w:lineRule="exact"/>
        <w:ind w:firstLine="640"/>
        <w:rPr>
          <w:rFonts w:ascii="仿宋_GB2312" w:eastAsia="仿宋_GB2312"/>
          <w:sz w:val="32"/>
          <w:szCs w:val="32"/>
        </w:rPr>
      </w:pPr>
      <w:r>
        <w:rPr>
          <w:rFonts w:hint="eastAsia" w:ascii="仿宋_GB2312" w:eastAsia="仿宋_GB2312"/>
          <w:sz w:val="32"/>
          <w:szCs w:val="32"/>
        </w:rPr>
        <w:t>一是完成中心机房改造、建设政务外网安全防护体系、网络安全等保二级测评，达到市上关于县级政务外网IPv6改造要求；二是完成县级延伸乡镇视频会议系统1个主会场8个分会场设备安装调试，建成乡镇一级的高清视频会议系统，全面实现省、市、县、乡科学化、可视化、一体化指挥调度通信体系；三是建设1个廉情监督热线平台，实现廉情监督热线平台使用功能。</w:t>
      </w:r>
    </w:p>
    <w:p w14:paraId="21610810">
      <w:pPr>
        <w:spacing w:line="580" w:lineRule="exact"/>
        <w:ind w:firstLine="640"/>
        <w:rPr>
          <w:rFonts w:ascii="黑体" w:hAnsi="黑体" w:eastAsia="黑体"/>
          <w:sz w:val="32"/>
          <w:szCs w:val="32"/>
        </w:rPr>
      </w:pPr>
      <w:r>
        <w:rPr>
          <w:rFonts w:hint="eastAsia" w:ascii="黑体" w:hAnsi="黑体" w:eastAsia="黑体"/>
          <w:sz w:val="32"/>
          <w:szCs w:val="32"/>
        </w:rPr>
        <w:t>二、项目资金情况</w:t>
      </w:r>
    </w:p>
    <w:p w14:paraId="0DB7460B">
      <w:pPr>
        <w:spacing w:line="580" w:lineRule="exact"/>
        <w:ind w:firstLine="640"/>
        <w:rPr>
          <w:rFonts w:ascii="仿宋_GB2312" w:eastAsia="仿宋_GB2312"/>
          <w:sz w:val="32"/>
          <w:szCs w:val="32"/>
        </w:rPr>
      </w:pPr>
      <w:r>
        <w:rPr>
          <w:rFonts w:hint="eastAsia" w:ascii="仿宋_GB2312" w:eastAsia="仿宋_GB2312"/>
          <w:sz w:val="32"/>
          <w:szCs w:val="32"/>
        </w:rPr>
        <w:t>我县于</w:t>
      </w:r>
      <w:r>
        <w:rPr>
          <w:rFonts w:hint="eastAsia" w:hAnsi="宋体"/>
          <w:sz w:val="32"/>
          <w:szCs w:val="32"/>
        </w:rPr>
        <w:t>2022</w:t>
      </w:r>
      <w:r>
        <w:rPr>
          <w:rFonts w:hint="eastAsia" w:ascii="仿宋_GB2312" w:eastAsia="仿宋_GB2312"/>
          <w:sz w:val="32"/>
          <w:szCs w:val="32"/>
        </w:rPr>
        <w:t>年组织实施了山丹县电子政务外网IPv</w:t>
      </w:r>
      <w:r>
        <w:rPr>
          <w:rFonts w:hint="eastAsia" w:hAnsi="宋体"/>
          <w:sz w:val="32"/>
          <w:szCs w:val="32"/>
        </w:rPr>
        <w:t>6</w:t>
      </w:r>
      <w:r>
        <w:rPr>
          <w:rFonts w:hint="eastAsia" w:ascii="仿宋_GB2312" w:eastAsia="仿宋_GB2312"/>
          <w:sz w:val="32"/>
          <w:szCs w:val="32"/>
        </w:rPr>
        <w:t>升级改造、山丹县县级延伸乡镇视频会议系统建设和山丹县廉情监督热线3个项目，以上信息化建设项目总投资</w:t>
      </w:r>
      <w:r>
        <w:rPr>
          <w:rFonts w:hint="eastAsia" w:hAnsi="宋体"/>
          <w:sz w:val="32"/>
          <w:szCs w:val="32"/>
        </w:rPr>
        <w:t>237.95</w:t>
      </w:r>
      <w:r>
        <w:rPr>
          <w:rFonts w:hint="eastAsia" w:ascii="仿宋_GB2312" w:eastAsia="仿宋_GB2312"/>
          <w:sz w:val="32"/>
          <w:szCs w:val="32"/>
        </w:rPr>
        <w:t>万元，目前已全部建成并投入使用，运行情况良好。2023年9月县财政拨付信息化建设资金30万元，其中支付山丹县电子政务外网IPv</w:t>
      </w:r>
      <w:r>
        <w:rPr>
          <w:rFonts w:hint="eastAsia" w:hAnsi="宋体"/>
          <w:sz w:val="32"/>
          <w:szCs w:val="32"/>
        </w:rPr>
        <w:t>6</w:t>
      </w:r>
      <w:r>
        <w:rPr>
          <w:rFonts w:hint="eastAsia" w:ascii="仿宋_GB2312" w:eastAsia="仿宋_GB2312"/>
          <w:sz w:val="32"/>
          <w:szCs w:val="32"/>
        </w:rPr>
        <w:t>升级改造项目15万元、山丹县县级延伸乡镇视频会议系统建设项目15万元。</w:t>
      </w:r>
    </w:p>
    <w:p w14:paraId="74CC8FEC">
      <w:pPr>
        <w:spacing w:line="580" w:lineRule="exact"/>
        <w:ind w:firstLine="640"/>
        <w:rPr>
          <w:rFonts w:ascii="黑体" w:hAnsi="黑体" w:eastAsia="黑体"/>
          <w:sz w:val="32"/>
          <w:szCs w:val="32"/>
        </w:rPr>
      </w:pPr>
      <w:r>
        <w:rPr>
          <w:rFonts w:hint="eastAsia" w:ascii="黑体" w:hAnsi="黑体" w:eastAsia="黑体"/>
          <w:sz w:val="32"/>
          <w:szCs w:val="32"/>
        </w:rPr>
        <w:t>三、绩效目标完成情况及效益分析</w:t>
      </w:r>
    </w:p>
    <w:p w14:paraId="3EC40A09">
      <w:pPr>
        <w:spacing w:line="580" w:lineRule="exact"/>
        <w:ind w:firstLine="640"/>
        <w:rPr>
          <w:rFonts w:ascii="仿宋_GB2312" w:eastAsia="仿宋_GB2312"/>
          <w:sz w:val="32"/>
          <w:szCs w:val="32"/>
        </w:rPr>
      </w:pPr>
      <w:r>
        <w:rPr>
          <w:rFonts w:hint="eastAsia" w:ascii="仿宋_GB2312" w:eastAsia="仿宋_GB2312"/>
          <w:sz w:val="32"/>
          <w:szCs w:val="32"/>
        </w:rPr>
        <w:t>该项目已达到信息化建设与政务服务、基层社会治理融合推进，实现了县、乡、村三级全量接入政务外网，实现省、市、县、乡可视化、一体化指挥调度通信体系，可满足县、乡、村三级政务外网使用需求及县乡视频会议调度需求。</w:t>
      </w:r>
    </w:p>
    <w:p w14:paraId="75DBDFCF">
      <w:pPr>
        <w:spacing w:line="580" w:lineRule="exact"/>
        <w:ind w:firstLine="640"/>
        <w:rPr>
          <w:rFonts w:ascii="黑体" w:hAnsi="黑体" w:eastAsia="黑体"/>
          <w:sz w:val="32"/>
          <w:szCs w:val="32"/>
        </w:rPr>
      </w:pPr>
      <w:r>
        <w:rPr>
          <w:rFonts w:hint="eastAsia" w:ascii="黑体" w:hAnsi="黑体" w:eastAsia="黑体"/>
          <w:sz w:val="32"/>
          <w:szCs w:val="32"/>
        </w:rPr>
        <w:t>四、自评结论</w:t>
      </w:r>
    </w:p>
    <w:p w14:paraId="121B470E">
      <w:pPr>
        <w:spacing w:line="580" w:lineRule="exact"/>
        <w:ind w:firstLine="640"/>
        <w:rPr>
          <w:rFonts w:ascii="仿宋_GB2312" w:eastAsia="仿宋_GB2312"/>
          <w:sz w:val="32"/>
          <w:szCs w:val="32"/>
        </w:rPr>
      </w:pPr>
      <w:r>
        <w:rPr>
          <w:rFonts w:hint="eastAsia" w:ascii="仿宋_GB2312" w:eastAsia="仿宋_GB2312"/>
          <w:sz w:val="32"/>
          <w:szCs w:val="32"/>
        </w:rPr>
        <w:t>依据县级财政专项资金绩效评价指标体系，结合项目实施情况，对山丹县信息化工作办公室牵头实施的信息化建设项目自评评价得分99分。</w:t>
      </w:r>
    </w:p>
    <w:p w14:paraId="26B1FD77">
      <w:pPr>
        <w:spacing w:line="580" w:lineRule="exact"/>
        <w:ind w:firstLine="640"/>
        <w:rPr>
          <w:rFonts w:ascii="黑体" w:hAnsi="黑体" w:eastAsia="黑体"/>
          <w:sz w:val="32"/>
          <w:szCs w:val="32"/>
        </w:rPr>
      </w:pPr>
      <w:r>
        <w:rPr>
          <w:rFonts w:hint="eastAsia" w:ascii="黑体" w:hAnsi="黑体" w:eastAsia="黑体"/>
          <w:sz w:val="32"/>
          <w:szCs w:val="32"/>
        </w:rPr>
        <w:t>五、存在的问题（说明未完成绩效目标及其原因）</w:t>
      </w:r>
    </w:p>
    <w:p w14:paraId="0A2D0115">
      <w:pPr>
        <w:spacing w:line="580" w:lineRule="exact"/>
        <w:ind w:firstLine="640"/>
        <w:rPr>
          <w:rFonts w:ascii="仿宋_GB2312" w:eastAsia="仿宋_GB2312"/>
          <w:sz w:val="32"/>
          <w:szCs w:val="32"/>
        </w:rPr>
      </w:pPr>
      <w:r>
        <w:rPr>
          <w:rFonts w:hint="eastAsia" w:ascii="仿宋_GB2312" w:eastAsia="仿宋_GB2312"/>
          <w:sz w:val="32"/>
          <w:szCs w:val="32"/>
        </w:rPr>
        <w:t>因该项目总金额237.5万元项目资金支付缓慢，影响信息化项目运维保障，并受网络、设备等客观因素影响，县、乡、村三级政务外网使用及县乡视频会议调度使用畅通率仅达到95%，未能实现100%。</w:t>
      </w:r>
    </w:p>
    <w:p w14:paraId="40715E42">
      <w:pPr>
        <w:spacing w:line="580" w:lineRule="exact"/>
        <w:ind w:firstLine="640"/>
        <w:rPr>
          <w:rFonts w:ascii="黑体" w:hAnsi="黑体" w:eastAsia="黑体"/>
          <w:sz w:val="32"/>
          <w:szCs w:val="32"/>
        </w:rPr>
      </w:pPr>
      <w:r>
        <w:rPr>
          <w:rFonts w:hint="eastAsia" w:ascii="黑体" w:hAnsi="黑体" w:eastAsia="黑体"/>
          <w:sz w:val="32"/>
          <w:szCs w:val="32"/>
        </w:rPr>
        <w:t>六、下一步改进工作的措施</w:t>
      </w:r>
    </w:p>
    <w:p w14:paraId="130981A5">
      <w:pPr>
        <w:spacing w:line="580" w:lineRule="exact"/>
        <w:ind w:firstLine="640"/>
        <w:rPr>
          <w:rFonts w:ascii="仿宋_GB2312" w:eastAsia="仿宋_GB2312"/>
          <w:sz w:val="32"/>
          <w:szCs w:val="32"/>
        </w:rPr>
      </w:pPr>
      <w:r>
        <w:rPr>
          <w:rFonts w:hint="eastAsia" w:ascii="仿宋_GB2312" w:eastAsia="仿宋_GB2312"/>
          <w:sz w:val="32"/>
          <w:szCs w:val="32"/>
        </w:rPr>
        <w:t>一是积极向上争取资金，尽快拨付剩余项目资金；二是督促运营商加强网络维护，保障项目运行畅通。</w:t>
      </w:r>
    </w:p>
    <w:p w14:paraId="1D21D1BA">
      <w:pPr>
        <w:spacing w:line="580" w:lineRule="exact"/>
        <w:ind w:firstLine="640"/>
        <w:rPr>
          <w:rFonts w:ascii="黑体" w:hAnsi="黑体" w:eastAsia="黑体"/>
          <w:sz w:val="32"/>
          <w:szCs w:val="32"/>
        </w:rPr>
      </w:pPr>
    </w:p>
    <w:p w14:paraId="5AD99279">
      <w:pPr>
        <w:spacing w:line="580" w:lineRule="exact"/>
        <w:ind w:firstLine="420"/>
      </w:pPr>
    </w:p>
    <w:p w14:paraId="19566C29">
      <w:pPr>
        <w:spacing w:line="580" w:lineRule="exact"/>
        <w:ind w:firstLine="4160"/>
        <w:rPr>
          <w:rFonts w:ascii="仿宋_GB2312" w:hAnsi="仿宋_GB2312" w:eastAsia="仿宋_GB2312" w:cs="仿宋_GB2312"/>
          <w:sz w:val="32"/>
          <w:szCs w:val="32"/>
        </w:rPr>
      </w:pPr>
    </w:p>
    <w:p w14:paraId="6371237C">
      <w:pPr>
        <w:spacing w:line="580" w:lineRule="exact"/>
        <w:ind w:firstLine="4160"/>
        <w:rPr>
          <w:rFonts w:ascii="仿宋_GB2312" w:hAnsi="仿宋_GB2312" w:eastAsia="仿宋_GB2312" w:cs="仿宋_GB2312"/>
          <w:sz w:val="32"/>
          <w:szCs w:val="32"/>
        </w:rPr>
      </w:pPr>
    </w:p>
    <w:p w14:paraId="22D485DA">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山丹县信息化工作办公室</w:t>
      </w:r>
    </w:p>
    <w:p w14:paraId="77750615">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村级政务外网项目支出绩效自评报告</w:t>
      </w:r>
    </w:p>
    <w:p w14:paraId="64F6FD21">
      <w:pPr>
        <w:spacing w:line="580" w:lineRule="exact"/>
        <w:rPr>
          <w:rFonts w:ascii="Times New Roman" w:eastAsia="楷体_GB2312"/>
          <w:sz w:val="32"/>
          <w:szCs w:val="32"/>
        </w:rPr>
      </w:pPr>
    </w:p>
    <w:p w14:paraId="55C484C0">
      <w:pPr>
        <w:spacing w:line="580" w:lineRule="exact"/>
        <w:ind w:firstLine="640"/>
        <w:rPr>
          <w:rFonts w:eastAsia="黑体"/>
          <w:sz w:val="32"/>
          <w:szCs w:val="32"/>
        </w:rPr>
      </w:pPr>
      <w:r>
        <w:rPr>
          <w:rFonts w:hint="eastAsia" w:eastAsia="黑体"/>
          <w:sz w:val="32"/>
          <w:szCs w:val="32"/>
        </w:rPr>
        <w:t>一、项目基本情况</w:t>
      </w:r>
    </w:p>
    <w:p w14:paraId="09A80100">
      <w:pPr>
        <w:spacing w:line="580" w:lineRule="exact"/>
        <w:ind w:firstLine="643"/>
        <w:rPr>
          <w:rFonts w:ascii="楷体_GB2312" w:eastAsia="楷体_GB2312"/>
          <w:b/>
          <w:sz w:val="32"/>
          <w:szCs w:val="32"/>
        </w:rPr>
      </w:pPr>
      <w:r>
        <w:rPr>
          <w:rFonts w:hint="eastAsia" w:ascii="楷体_GB2312" w:eastAsia="楷体_GB2312"/>
          <w:b/>
          <w:sz w:val="32"/>
          <w:szCs w:val="32"/>
        </w:rPr>
        <w:t>（一）山丹县村级政务外网项目概况</w:t>
      </w:r>
    </w:p>
    <w:p w14:paraId="4CF07637">
      <w:pPr>
        <w:spacing w:line="580" w:lineRule="exact"/>
        <w:ind w:firstLine="640"/>
        <w:rPr>
          <w:rFonts w:ascii="仿宋_GB2312" w:eastAsia="仿宋_GB2312"/>
          <w:sz w:val="32"/>
          <w:szCs w:val="32"/>
        </w:rPr>
      </w:pPr>
      <w:r>
        <w:rPr>
          <w:rFonts w:hint="eastAsia" w:ascii="仿宋_GB2312" w:eastAsia="仿宋_GB2312"/>
          <w:sz w:val="32"/>
        </w:rPr>
        <w:t>根据《甘肃省数字政府建设总体规划（</w:t>
      </w:r>
      <w:r>
        <w:rPr>
          <w:rFonts w:ascii="Times New Roman" w:hAnsi="Times New Roman" w:eastAsia="仿宋_GB2312" w:cs="Times New Roman"/>
          <w:sz w:val="32"/>
        </w:rPr>
        <w:t>2021-2025</w:t>
      </w:r>
      <w:r>
        <w:rPr>
          <w:rFonts w:hint="eastAsia" w:ascii="仿宋_GB2312" w:eastAsia="仿宋_GB2312"/>
          <w:sz w:val="32"/>
        </w:rPr>
        <w:t>）》、《张掖市电子政务外网</w:t>
      </w:r>
      <w:r>
        <w:rPr>
          <w:rFonts w:ascii="仿宋_GB2312" w:eastAsia="仿宋_GB2312"/>
          <w:sz w:val="32"/>
        </w:rPr>
        <w:t>IPv</w:t>
      </w:r>
      <w:r>
        <w:rPr>
          <w:rFonts w:ascii="Times New Roman" w:hAnsi="Times New Roman" w:eastAsia="仿宋_GB2312" w:cs="Times New Roman"/>
          <w:sz w:val="32"/>
        </w:rPr>
        <w:t>6</w:t>
      </w:r>
      <w:r>
        <w:rPr>
          <w:rFonts w:ascii="仿宋_GB2312" w:eastAsia="仿宋_GB2312"/>
          <w:sz w:val="32"/>
        </w:rPr>
        <w:t>改造建设方案</w:t>
      </w:r>
      <w:r>
        <w:rPr>
          <w:rFonts w:hint="eastAsia" w:ascii="仿宋_GB2312" w:eastAsia="仿宋_GB2312"/>
          <w:sz w:val="32"/>
        </w:rPr>
        <w:t>》和《甘肃省数字政府建设方案》要求，为加快促进政务网络资源整合，推行省市县乡村五级联动，将电子政务外网向村级延神，打通政务服务“最后一公里”。</w:t>
      </w:r>
      <w:r>
        <w:rPr>
          <w:rFonts w:hint="eastAsia" w:ascii="Times New Roman" w:hAnsi="Times New Roman" w:eastAsia="仿宋_GB2312" w:cs="Times New Roman"/>
          <w:sz w:val="32"/>
        </w:rPr>
        <w:t>2021</w:t>
      </w:r>
      <w:r>
        <w:rPr>
          <w:rFonts w:hint="eastAsia" w:ascii="仿宋_GB2312" w:eastAsia="仿宋_GB2312"/>
          <w:sz w:val="32"/>
        </w:rPr>
        <w:t>年</w:t>
      </w:r>
      <w:r>
        <w:rPr>
          <w:rFonts w:hint="eastAsia" w:ascii="Times New Roman" w:hAnsi="Times New Roman" w:eastAsia="仿宋_GB2312" w:cs="Times New Roman"/>
          <w:sz w:val="32"/>
        </w:rPr>
        <w:t>10</w:t>
      </w:r>
      <w:r>
        <w:rPr>
          <w:rFonts w:hint="eastAsia" w:ascii="仿宋_GB2312" w:eastAsia="仿宋_GB2312"/>
          <w:sz w:val="32"/>
        </w:rPr>
        <w:t>月经县政府主要及分管领导同意在全县</w:t>
      </w:r>
      <w:r>
        <w:rPr>
          <w:rFonts w:hint="eastAsia" w:ascii="Times New Roman" w:hAnsi="Times New Roman" w:eastAsia="仿宋_GB2312" w:cs="Times New Roman"/>
          <w:sz w:val="32"/>
        </w:rPr>
        <w:t>105</w:t>
      </w:r>
      <w:r>
        <w:rPr>
          <w:rFonts w:hint="eastAsia" w:ascii="仿宋_GB2312" w:eastAsia="仿宋_GB2312"/>
          <w:sz w:val="32"/>
        </w:rPr>
        <w:t>个行政村开通村级电子政务外网，每村费用为</w:t>
      </w:r>
      <w:r>
        <w:rPr>
          <w:rFonts w:hint="eastAsia" w:ascii="Times New Roman" w:hAnsi="Times New Roman" w:eastAsia="仿宋_GB2312" w:cs="Times New Roman"/>
          <w:sz w:val="32"/>
        </w:rPr>
        <w:t>600</w:t>
      </w:r>
      <w:r>
        <w:rPr>
          <w:rFonts w:hint="eastAsia" w:ascii="仿宋_GB2312" w:eastAsia="仿宋_GB2312"/>
          <w:sz w:val="32"/>
        </w:rPr>
        <w:t>元/年，每年</w:t>
      </w:r>
      <w:r>
        <w:rPr>
          <w:rFonts w:ascii="仿宋_GB2312" w:eastAsia="仿宋_GB2312"/>
          <w:sz w:val="32"/>
        </w:rPr>
        <w:t>合计</w:t>
      </w:r>
      <w:r>
        <w:rPr>
          <w:rFonts w:hint="eastAsia" w:ascii="Times New Roman" w:hAnsi="Times New Roman" w:eastAsia="仿宋_GB2312" w:cs="Times New Roman"/>
          <w:sz w:val="32"/>
        </w:rPr>
        <w:t>6.3</w:t>
      </w:r>
      <w:r>
        <w:rPr>
          <w:rFonts w:hint="eastAsia" w:ascii="仿宋_GB2312" w:eastAsia="仿宋_GB2312"/>
          <w:sz w:val="32"/>
        </w:rPr>
        <w:t>万元。</w:t>
      </w:r>
    </w:p>
    <w:p w14:paraId="085CC1C1">
      <w:pPr>
        <w:spacing w:line="580" w:lineRule="exact"/>
        <w:ind w:firstLine="643"/>
        <w:rPr>
          <w:rFonts w:ascii="楷体_GB2312" w:eastAsia="楷体_GB2312"/>
          <w:b/>
          <w:sz w:val="32"/>
          <w:szCs w:val="32"/>
        </w:rPr>
      </w:pPr>
      <w:r>
        <w:rPr>
          <w:rFonts w:hint="eastAsia" w:ascii="楷体_GB2312" w:eastAsia="楷体_GB2312"/>
          <w:b/>
          <w:sz w:val="32"/>
          <w:szCs w:val="32"/>
        </w:rPr>
        <w:t>（二）项目绩效目标</w:t>
      </w:r>
    </w:p>
    <w:p w14:paraId="67351C9A">
      <w:pPr>
        <w:spacing w:line="580" w:lineRule="exact"/>
        <w:ind w:firstLine="636"/>
        <w:rPr>
          <w:rFonts w:ascii="仿宋_GB2312" w:eastAsia="仿宋_GB2312"/>
          <w:sz w:val="32"/>
        </w:rPr>
      </w:pPr>
      <w:r>
        <w:rPr>
          <w:rFonts w:hint="eastAsia" w:ascii="仿宋_GB2312" w:eastAsia="仿宋_GB2312"/>
          <w:sz w:val="32"/>
        </w:rPr>
        <w:t>全县</w:t>
      </w:r>
      <w:r>
        <w:rPr>
          <w:rFonts w:hint="eastAsia" w:ascii="Times New Roman" w:hAnsi="Times New Roman" w:eastAsia="仿宋_GB2312" w:cs="Times New Roman"/>
          <w:sz w:val="32"/>
        </w:rPr>
        <w:t>105</w:t>
      </w:r>
      <w:r>
        <w:rPr>
          <w:rFonts w:hint="eastAsia" w:ascii="仿宋_GB2312" w:eastAsia="仿宋_GB2312"/>
          <w:sz w:val="32"/>
        </w:rPr>
        <w:t>个行政村开通不低于</w:t>
      </w:r>
      <w:r>
        <w:rPr>
          <w:rFonts w:hint="eastAsia" w:ascii="Times New Roman" w:hAnsi="Times New Roman" w:eastAsia="仿宋_GB2312" w:cs="Times New Roman"/>
          <w:sz w:val="32"/>
        </w:rPr>
        <w:t>100</w:t>
      </w:r>
      <w:r>
        <w:rPr>
          <w:rFonts w:hint="eastAsia" w:ascii="仿宋_GB2312" w:eastAsia="仿宋_GB2312"/>
          <w:sz w:val="32"/>
        </w:rPr>
        <w:t>M光纤专线电子政务外网，实现与全县电子政务外网连接，打通政务服务“最后一公里”。</w:t>
      </w:r>
    </w:p>
    <w:p w14:paraId="230A4197">
      <w:pPr>
        <w:spacing w:line="580" w:lineRule="exact"/>
        <w:ind w:firstLine="640"/>
        <w:rPr>
          <w:rFonts w:ascii="黑体" w:hAnsi="黑体" w:eastAsia="黑体"/>
          <w:sz w:val="32"/>
          <w:szCs w:val="32"/>
        </w:rPr>
      </w:pPr>
      <w:r>
        <w:rPr>
          <w:rFonts w:hint="eastAsia" w:ascii="黑体" w:hAnsi="黑体" w:eastAsia="黑体"/>
          <w:sz w:val="32"/>
          <w:szCs w:val="32"/>
        </w:rPr>
        <w:t>二、项目资金情况</w:t>
      </w:r>
    </w:p>
    <w:p w14:paraId="17279A3A">
      <w:pPr>
        <w:spacing w:line="580" w:lineRule="exact"/>
        <w:ind w:firstLine="640"/>
        <w:rPr>
          <w:rFonts w:ascii="仿宋_GB2312" w:eastAsia="仿宋_GB2312"/>
          <w:sz w:val="32"/>
          <w:szCs w:val="32"/>
        </w:rPr>
      </w:pPr>
      <w:r>
        <w:rPr>
          <w:rFonts w:hint="eastAsia" w:ascii="仿宋_GB2312" w:eastAsia="仿宋_GB2312"/>
          <w:sz w:val="32"/>
          <w:szCs w:val="32"/>
        </w:rPr>
        <w:t>山丹县信息化工作办公室村级政务外网项目预算资金合计6.3万元，资金现已全部支付完成。</w:t>
      </w:r>
    </w:p>
    <w:p w14:paraId="58160FBF">
      <w:pPr>
        <w:spacing w:line="580" w:lineRule="exact"/>
        <w:ind w:firstLine="640"/>
        <w:rPr>
          <w:rFonts w:ascii="黑体" w:hAnsi="黑体" w:eastAsia="黑体"/>
          <w:sz w:val="32"/>
          <w:szCs w:val="32"/>
        </w:rPr>
      </w:pPr>
      <w:r>
        <w:rPr>
          <w:rFonts w:hint="eastAsia" w:ascii="黑体" w:hAnsi="黑体" w:eastAsia="黑体"/>
          <w:sz w:val="32"/>
          <w:szCs w:val="32"/>
        </w:rPr>
        <w:t>三、绩效目标完成情况及效益分析</w:t>
      </w:r>
    </w:p>
    <w:p w14:paraId="424B5B4F">
      <w:pPr>
        <w:spacing w:line="580" w:lineRule="exact"/>
        <w:ind w:firstLine="640"/>
        <w:rPr>
          <w:rFonts w:ascii="仿宋_GB2312" w:eastAsia="仿宋_GB2312"/>
          <w:sz w:val="32"/>
          <w:szCs w:val="32"/>
        </w:rPr>
      </w:pPr>
      <w:r>
        <w:rPr>
          <w:rFonts w:hint="eastAsia" w:ascii="仿宋_GB2312" w:eastAsia="仿宋_GB2312"/>
          <w:sz w:val="32"/>
          <w:szCs w:val="32"/>
        </w:rPr>
        <w:t>经评价：项目资金无超范围、违规、挪用项目资金现象，项目产出质量、产出时效、产出成本、项目效果等方面工作成效显著。</w:t>
      </w:r>
    </w:p>
    <w:p w14:paraId="4093C377">
      <w:pPr>
        <w:pStyle w:val="189"/>
        <w:numPr>
          <w:ilvl w:val="0"/>
          <w:numId w:val="11"/>
        </w:numPr>
        <w:spacing w:line="580" w:lineRule="exact"/>
        <w:rPr>
          <w:rFonts w:ascii="黑体" w:hAnsi="黑体" w:eastAsia="黑体"/>
          <w:sz w:val="32"/>
          <w:szCs w:val="32"/>
        </w:rPr>
      </w:pPr>
      <w:r>
        <w:rPr>
          <w:rFonts w:hint="eastAsia" w:ascii="黑体" w:hAnsi="黑体" w:eastAsia="黑体"/>
          <w:sz w:val="32"/>
          <w:szCs w:val="32"/>
        </w:rPr>
        <w:t>自评结论</w:t>
      </w:r>
    </w:p>
    <w:p w14:paraId="6E115BBA">
      <w:pPr>
        <w:spacing w:line="580" w:lineRule="exact"/>
        <w:ind w:firstLine="640"/>
        <w:rPr>
          <w:rFonts w:ascii="仿宋_GB2312" w:eastAsia="仿宋_GB2312"/>
          <w:sz w:val="32"/>
          <w:szCs w:val="32"/>
        </w:rPr>
      </w:pPr>
      <w:r>
        <w:rPr>
          <w:rFonts w:hint="eastAsia" w:ascii="仿宋_GB2312" w:eastAsia="仿宋_GB2312"/>
          <w:sz w:val="32"/>
          <w:szCs w:val="32"/>
        </w:rPr>
        <w:t>依据县级财政专项资金绩效评价指标体系，结合项目实施情况，对山丹县信息化工作办公室村级政务外网项目自评评价得分98分。</w:t>
      </w:r>
    </w:p>
    <w:p w14:paraId="27F3C4BB">
      <w:pPr>
        <w:pStyle w:val="189"/>
        <w:numPr>
          <w:ilvl w:val="0"/>
          <w:numId w:val="11"/>
        </w:numPr>
        <w:spacing w:line="580" w:lineRule="exact"/>
        <w:rPr>
          <w:rFonts w:ascii="仿宋_GB2312" w:eastAsia="仿宋_GB2312"/>
          <w:sz w:val="32"/>
          <w:szCs w:val="32"/>
        </w:rPr>
      </w:pPr>
      <w:r>
        <w:rPr>
          <w:rFonts w:hint="eastAsia" w:ascii="黑体" w:hAnsi="黑体" w:eastAsia="黑体"/>
          <w:sz w:val="32"/>
          <w:szCs w:val="32"/>
        </w:rPr>
        <w:t>存在的问题</w:t>
      </w:r>
    </w:p>
    <w:p w14:paraId="432E8181">
      <w:pPr>
        <w:spacing w:line="580" w:lineRule="exact"/>
        <w:ind w:firstLine="640"/>
        <w:rPr>
          <w:rFonts w:ascii="仿宋_GB2312" w:eastAsia="仿宋_GB2312"/>
          <w:sz w:val="32"/>
        </w:rPr>
      </w:pPr>
      <w:r>
        <w:rPr>
          <w:rFonts w:hint="eastAsia" w:ascii="仿宋_GB2312" w:eastAsia="仿宋_GB2312"/>
          <w:sz w:val="32"/>
          <w:szCs w:val="32"/>
        </w:rPr>
        <w:t>我县尚有6个</w:t>
      </w:r>
      <w:r>
        <w:rPr>
          <w:rFonts w:hint="eastAsia" w:ascii="仿宋_GB2312" w:eastAsia="仿宋_GB2312"/>
          <w:sz w:val="32"/>
        </w:rPr>
        <w:t>行政村</w:t>
      </w:r>
      <w:r>
        <w:rPr>
          <w:rFonts w:hint="eastAsia" w:ascii="仿宋_GB2312" w:eastAsia="仿宋_GB2312"/>
          <w:sz w:val="32"/>
          <w:szCs w:val="32"/>
        </w:rPr>
        <w:t>由于自身村级条件未能达到开通要求，暂未开通</w:t>
      </w:r>
      <w:r>
        <w:rPr>
          <w:rFonts w:hint="eastAsia" w:ascii="仿宋_GB2312" w:eastAsia="仿宋_GB2312"/>
          <w:sz w:val="32"/>
        </w:rPr>
        <w:t>村级电子政务外网。</w:t>
      </w:r>
    </w:p>
    <w:p w14:paraId="588ED6E3">
      <w:pPr>
        <w:spacing w:line="580" w:lineRule="exact"/>
        <w:ind w:firstLine="640"/>
        <w:rPr>
          <w:rFonts w:ascii="仿宋_GB2312" w:eastAsia="仿宋_GB2312"/>
          <w:sz w:val="32"/>
          <w:szCs w:val="32"/>
        </w:rPr>
      </w:pPr>
      <w:r>
        <w:rPr>
          <w:rFonts w:hint="eastAsia" w:ascii="黑体" w:hAnsi="黑体" w:eastAsia="黑体"/>
          <w:sz w:val="32"/>
          <w:szCs w:val="32"/>
        </w:rPr>
        <w:t>六、下一步改进工作的措施</w:t>
      </w:r>
    </w:p>
    <w:p w14:paraId="168853D9">
      <w:pPr>
        <w:pStyle w:val="28"/>
        <w:spacing w:beforeAutospacing="0" w:afterAutospacing="0" w:line="580" w:lineRule="exact"/>
        <w:ind w:firstLine="640"/>
        <w:jc w:val="both"/>
        <w:rPr>
          <w:rFonts w:ascii="仿宋_GB2312" w:eastAsia="仿宋_GB2312" w:cstheme="minorBidi"/>
          <w:sz w:val="32"/>
          <w:szCs w:val="32"/>
        </w:rPr>
      </w:pPr>
      <w:r>
        <w:rPr>
          <w:rFonts w:hint="eastAsia" w:ascii="仿宋_GB2312" w:eastAsia="仿宋_GB2312" w:cstheme="minorBidi"/>
          <w:sz w:val="32"/>
          <w:szCs w:val="32"/>
        </w:rPr>
        <w:t>积极协调解决我县剩余6个行政村不能开通</w:t>
      </w:r>
      <w:r>
        <w:rPr>
          <w:rFonts w:hint="eastAsia" w:ascii="仿宋_GB2312" w:eastAsia="仿宋_GB2312"/>
          <w:sz w:val="32"/>
        </w:rPr>
        <w:t>电子政务外网的问题，同时与通信运营商积极沟通，保障我县已开通</w:t>
      </w:r>
      <w:r>
        <w:rPr>
          <w:rFonts w:hint="eastAsia" w:ascii="仿宋_GB2312" w:eastAsia="仿宋_GB2312" w:cstheme="minorBidi"/>
          <w:sz w:val="32"/>
          <w:szCs w:val="32"/>
        </w:rPr>
        <w:t>的105个行政村政务外网带宽不低于100M，全面提高我县电子政务外网的承载能力和运行效率，</w:t>
      </w:r>
      <w:r>
        <w:rPr>
          <w:rFonts w:hint="eastAsia" w:ascii="仿宋_GB2312" w:eastAsia="仿宋_GB2312"/>
          <w:sz w:val="32"/>
        </w:rPr>
        <w:t>打通政务服务“最后一公里”。</w:t>
      </w:r>
    </w:p>
    <w:p w14:paraId="751803F1">
      <w:pPr>
        <w:spacing w:line="580" w:lineRule="exact"/>
        <w:ind w:left="420"/>
        <w:rPr>
          <w:rFonts w:ascii="黑体" w:hAnsi="黑体" w:eastAsia="黑体"/>
          <w:sz w:val="32"/>
          <w:szCs w:val="32"/>
        </w:rPr>
      </w:pPr>
    </w:p>
    <w:p w14:paraId="088093BA">
      <w:pPr>
        <w:pStyle w:val="188"/>
        <w:spacing w:line="580" w:lineRule="exact"/>
      </w:pPr>
    </w:p>
    <w:p w14:paraId="43264C48">
      <w:pPr>
        <w:spacing w:line="580" w:lineRule="exact"/>
        <w:rPr>
          <w:rFonts w:ascii="仿宋_GB2312" w:hAnsi="仿宋_GB2312" w:eastAsia="仿宋_GB2312" w:cs="仿宋_GB2312"/>
          <w:sz w:val="32"/>
          <w:szCs w:val="32"/>
        </w:rPr>
      </w:pPr>
    </w:p>
    <w:p w14:paraId="792A6D25">
      <w:pPr>
        <w:spacing w:line="600" w:lineRule="exact"/>
        <w:rPr>
          <w:rFonts w:ascii="仿宋_GB2312" w:hAnsi="仿宋_GB2312" w:eastAsia="仿宋_GB2312" w:cs="仿宋_GB2312"/>
          <w:sz w:val="32"/>
          <w:szCs w:val="32"/>
        </w:rPr>
      </w:pPr>
    </w:p>
    <w:sectPr>
      <w:pgSz w:w="11906" w:h="16838" w:orient="landscape"/>
      <w:pgMar w:top="1440" w:right="1797" w:bottom="1440" w:left="1797"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 w:name="CESI仿宋-GB2312">
    <w:altName w:val="仿宋"/>
    <w:panose1 w:val="020B060402020202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japaneseCounting"/>
      <w:suff w:val="space"/>
      <w:lvlText w:val="（%1）"/>
      <w:lvlJc w:val="left"/>
      <w:pPr>
        <w:ind w:left="1723" w:hanging="1080"/>
      </w:pPr>
      <w:rPr>
        <w:rFonts w:hint="default"/>
      </w:rPr>
    </w:lvl>
    <w:lvl w:ilvl="1" w:tentative="0">
      <w:start w:val="1"/>
      <w:numFmt w:val="lowerLetter"/>
      <w:suff w:val="space"/>
      <w:lvlText w:val="%2)"/>
      <w:lvlJc w:val="left"/>
      <w:pPr>
        <w:ind w:left="1483" w:hanging="420"/>
      </w:pPr>
    </w:lvl>
    <w:lvl w:ilvl="2" w:tentative="0">
      <w:start w:val="1"/>
      <w:numFmt w:val="lowerRoman"/>
      <w:suff w:val="space"/>
      <w:lvlText w:val="%3."/>
      <w:lvlJc w:val="right"/>
      <w:pPr>
        <w:ind w:left="1903" w:hanging="420"/>
      </w:pPr>
    </w:lvl>
    <w:lvl w:ilvl="3" w:tentative="0">
      <w:start w:val="1"/>
      <w:numFmt w:val="decimal"/>
      <w:suff w:val="space"/>
      <w:lvlText w:val="%4."/>
      <w:lvlJc w:val="left"/>
      <w:pPr>
        <w:ind w:left="2323" w:hanging="420"/>
      </w:pPr>
    </w:lvl>
    <w:lvl w:ilvl="4" w:tentative="0">
      <w:start w:val="1"/>
      <w:numFmt w:val="lowerLetter"/>
      <w:suff w:val="space"/>
      <w:lvlText w:val="%5)"/>
      <w:lvlJc w:val="left"/>
      <w:pPr>
        <w:ind w:left="2743" w:hanging="420"/>
      </w:pPr>
    </w:lvl>
    <w:lvl w:ilvl="5" w:tentative="0">
      <w:start w:val="1"/>
      <w:numFmt w:val="lowerRoman"/>
      <w:suff w:val="space"/>
      <w:lvlText w:val="%6."/>
      <w:lvlJc w:val="right"/>
      <w:pPr>
        <w:ind w:left="3163" w:hanging="420"/>
      </w:pPr>
    </w:lvl>
    <w:lvl w:ilvl="6" w:tentative="0">
      <w:start w:val="1"/>
      <w:numFmt w:val="decimal"/>
      <w:suff w:val="space"/>
      <w:lvlText w:val="%7."/>
      <w:lvlJc w:val="left"/>
      <w:pPr>
        <w:ind w:left="3583" w:hanging="420"/>
      </w:pPr>
    </w:lvl>
    <w:lvl w:ilvl="7" w:tentative="0">
      <w:start w:val="1"/>
      <w:numFmt w:val="lowerLetter"/>
      <w:suff w:val="space"/>
      <w:lvlText w:val="%8)"/>
      <w:lvlJc w:val="left"/>
      <w:pPr>
        <w:ind w:left="4003" w:hanging="420"/>
      </w:pPr>
    </w:lvl>
    <w:lvl w:ilvl="8" w:tentative="0">
      <w:start w:val="1"/>
      <w:numFmt w:val="lowerRoman"/>
      <w:suff w:val="space"/>
      <w:lvlText w:val="%9."/>
      <w:lvlJc w:val="right"/>
      <w:pPr>
        <w:ind w:left="4423" w:hanging="420"/>
      </w:pPr>
    </w:lvl>
  </w:abstractNum>
  <w:abstractNum w:abstractNumId="1">
    <w:nsid w:val="B5E306ED"/>
    <w:multiLevelType w:val="multilevel"/>
    <w:tmpl w:val="B5E306ED"/>
    <w:lvl w:ilvl="0" w:tentative="0">
      <w:start w:val="1"/>
      <w:numFmt w:val="decimal"/>
      <w:suff w:val="space"/>
      <w:lvlText w:val="%1."/>
      <w:lvlJc w:val="left"/>
      <w:pPr>
        <w:tabs>
          <w:tab w:val="left" w:pos="312"/>
        </w:tabs>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
    <w:nsid w:val="BF205925"/>
    <w:multiLevelType w:val="multilevel"/>
    <w:tmpl w:val="BF205925"/>
    <w:lvl w:ilvl="0" w:tentative="0">
      <w:start w:val="5"/>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
    <w:nsid w:val="CF092B84"/>
    <w:multiLevelType w:val="multilevel"/>
    <w:tmpl w:val="CF092B84"/>
    <w:lvl w:ilvl="0" w:tentative="0">
      <w:start w:val="5"/>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4">
    <w:nsid w:val="0053208E"/>
    <w:multiLevelType w:val="multilevel"/>
    <w:tmpl w:val="0053208E"/>
    <w:lvl w:ilvl="0" w:tentative="0">
      <w:start w:val="2"/>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5">
    <w:nsid w:val="0248C179"/>
    <w:multiLevelType w:val="multilevel"/>
    <w:tmpl w:val="0248C179"/>
    <w:lvl w:ilvl="0" w:tentative="0">
      <w:start w:val="5"/>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6">
    <w:nsid w:val="03D62ECE"/>
    <w:multiLevelType w:val="multilevel"/>
    <w:tmpl w:val="03D62ECE"/>
    <w:lvl w:ilvl="0" w:tentative="0">
      <w:start w:val="3"/>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7">
    <w:nsid w:val="25B654F3"/>
    <w:multiLevelType w:val="multilevel"/>
    <w:tmpl w:val="25B654F3"/>
    <w:lvl w:ilvl="0" w:tentative="0">
      <w:start w:val="2"/>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8">
    <w:nsid w:val="2A8F537B"/>
    <w:multiLevelType w:val="multilevel"/>
    <w:tmpl w:val="2A8F537B"/>
    <w:lvl w:ilvl="0" w:tentative="0">
      <w:start w:val="4"/>
      <w:numFmt w:val="japaneseCounting"/>
      <w:suff w:val="space"/>
      <w:lvlText w:val="%1、"/>
      <w:lvlJc w:val="left"/>
      <w:pPr>
        <w:ind w:left="1360" w:hanging="720"/>
      </w:pPr>
      <w:rPr>
        <w:rFonts w:hint="default"/>
      </w:rPr>
    </w:lvl>
    <w:lvl w:ilvl="1" w:tentative="0">
      <w:start w:val="1"/>
      <w:numFmt w:val="lowerLetter"/>
      <w:suff w:val="space"/>
      <w:lvlText w:val="%2)"/>
      <w:lvlJc w:val="left"/>
      <w:pPr>
        <w:ind w:left="1480" w:hanging="420"/>
      </w:pPr>
    </w:lvl>
    <w:lvl w:ilvl="2" w:tentative="0">
      <w:start w:val="1"/>
      <w:numFmt w:val="lowerRoman"/>
      <w:suff w:val="space"/>
      <w:lvlText w:val="%3."/>
      <w:lvlJc w:val="right"/>
      <w:pPr>
        <w:ind w:left="1900" w:hanging="420"/>
      </w:pPr>
    </w:lvl>
    <w:lvl w:ilvl="3" w:tentative="0">
      <w:start w:val="1"/>
      <w:numFmt w:val="decimal"/>
      <w:suff w:val="space"/>
      <w:lvlText w:val="%4."/>
      <w:lvlJc w:val="left"/>
      <w:pPr>
        <w:ind w:left="2320" w:hanging="420"/>
      </w:pPr>
    </w:lvl>
    <w:lvl w:ilvl="4" w:tentative="0">
      <w:start w:val="1"/>
      <w:numFmt w:val="lowerLetter"/>
      <w:suff w:val="space"/>
      <w:lvlText w:val="%5)"/>
      <w:lvlJc w:val="left"/>
      <w:pPr>
        <w:ind w:left="2740" w:hanging="420"/>
      </w:pPr>
    </w:lvl>
    <w:lvl w:ilvl="5" w:tentative="0">
      <w:start w:val="1"/>
      <w:numFmt w:val="lowerRoman"/>
      <w:suff w:val="space"/>
      <w:lvlText w:val="%6."/>
      <w:lvlJc w:val="right"/>
      <w:pPr>
        <w:ind w:left="3160" w:hanging="420"/>
      </w:pPr>
    </w:lvl>
    <w:lvl w:ilvl="6" w:tentative="0">
      <w:start w:val="1"/>
      <w:numFmt w:val="decimal"/>
      <w:suff w:val="space"/>
      <w:lvlText w:val="%7."/>
      <w:lvlJc w:val="left"/>
      <w:pPr>
        <w:ind w:left="3580" w:hanging="420"/>
      </w:pPr>
    </w:lvl>
    <w:lvl w:ilvl="7" w:tentative="0">
      <w:start w:val="1"/>
      <w:numFmt w:val="lowerLetter"/>
      <w:suff w:val="space"/>
      <w:lvlText w:val="%8)"/>
      <w:lvlJc w:val="left"/>
      <w:pPr>
        <w:ind w:left="4000" w:hanging="420"/>
      </w:pPr>
    </w:lvl>
    <w:lvl w:ilvl="8" w:tentative="0">
      <w:start w:val="1"/>
      <w:numFmt w:val="lowerRoman"/>
      <w:suff w:val="space"/>
      <w:lvlText w:val="%9."/>
      <w:lvlJc w:val="right"/>
      <w:pPr>
        <w:ind w:left="4420" w:hanging="420"/>
      </w:pPr>
    </w:lvl>
  </w:abstractNum>
  <w:abstractNum w:abstractNumId="9">
    <w:nsid w:val="59ADCABA"/>
    <w:multiLevelType w:val="multilevel"/>
    <w:tmpl w:val="59ADCABA"/>
    <w:lvl w:ilvl="0" w:tentative="0">
      <w:start w:val="5"/>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0">
    <w:nsid w:val="72183CF9"/>
    <w:multiLevelType w:val="multilevel"/>
    <w:tmpl w:val="72183CF9"/>
    <w:lvl w:ilvl="0" w:tentative="0">
      <w:start w:val="4"/>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0"/>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characterSpacingControl w:val="doNotCompres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11E78"/>
    <w:rsid w:val="158F4E06"/>
    <w:rsid w:val="1CD221A8"/>
    <w:rsid w:val="1DB13AAD"/>
    <w:rsid w:val="26D144A1"/>
    <w:rsid w:val="48D52965"/>
    <w:rsid w:val="56EA63E9"/>
    <w:rsid w:val="5DC32E6C"/>
    <w:rsid w:val="66C84693"/>
    <w:rsid w:val="7A0E24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Theme="minorHAnsi" w:eastAsiaTheme="minorEastAsia" w:cstheme="minorBidi"/>
      <w:sz w:val="21"/>
      <w:szCs w:val="22"/>
    </w:rPr>
  </w:style>
  <w:style w:type="paragraph" w:styleId="2">
    <w:name w:val="heading 1"/>
    <w:basedOn w:val="1"/>
    <w:next w:val="1"/>
    <w:link w:val="36"/>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7"/>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8"/>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9"/>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40"/>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1"/>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2"/>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3"/>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4"/>
    <w:unhideWhenUsed/>
    <w:qFormat/>
    <w:uiPriority w:val="9"/>
    <w:pPr>
      <w:keepNext/>
      <w:keepLines/>
      <w:spacing w:before="320" w:after="200"/>
      <w:outlineLvl w:val="8"/>
    </w:pPr>
    <w:rPr>
      <w:rFonts w:ascii="等线" w:hAnsi="等线" w:eastAsia="等线" w:cs="等线"/>
      <w:i/>
      <w:iCs/>
      <w:sz w:val="21"/>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Normal Indent"/>
    <w:basedOn w:val="1"/>
    <w:unhideWhenUsed/>
    <w:qFormat/>
    <w:uiPriority w:val="0"/>
    <w:pPr>
      <w:ind w:firstLine="420"/>
    </w:pPr>
  </w:style>
  <w:style w:type="paragraph" w:styleId="13">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4">
    <w:name w:val="toc 5"/>
    <w:basedOn w:val="1"/>
    <w:next w:val="1"/>
    <w:unhideWhenUsed/>
    <w:qFormat/>
    <w:uiPriority w:val="39"/>
    <w:pPr>
      <w:spacing w:after="57"/>
      <w:ind w:left="1134" w:right="0" w:firstLine="0"/>
    </w:pPr>
  </w:style>
  <w:style w:type="paragraph" w:styleId="15">
    <w:name w:val="toc 3"/>
    <w:basedOn w:val="1"/>
    <w:next w:val="1"/>
    <w:unhideWhenUsed/>
    <w:qFormat/>
    <w:uiPriority w:val="39"/>
    <w:pPr>
      <w:spacing w:after="57"/>
      <w:ind w:left="567" w:right="0" w:firstLine="0"/>
    </w:pPr>
  </w:style>
  <w:style w:type="paragraph" w:styleId="16">
    <w:name w:val="toc 8"/>
    <w:basedOn w:val="1"/>
    <w:next w:val="1"/>
    <w:unhideWhenUsed/>
    <w:qFormat/>
    <w:uiPriority w:val="39"/>
    <w:pPr>
      <w:spacing w:after="57"/>
      <w:ind w:left="1984" w:right="0" w:firstLine="0"/>
    </w:pPr>
  </w:style>
  <w:style w:type="paragraph" w:styleId="17">
    <w:name w:val="endnote text"/>
    <w:basedOn w:val="1"/>
    <w:link w:val="181"/>
    <w:semiHidden/>
    <w:unhideWhenUsed/>
    <w:qFormat/>
    <w:uiPriority w:val="99"/>
    <w:pPr>
      <w:spacing w:after="0" w:line="240" w:lineRule="auto"/>
    </w:pPr>
    <w:rPr>
      <w:sz w:val="20"/>
    </w:rPr>
  </w:style>
  <w:style w:type="paragraph" w:styleId="18">
    <w:name w:val="footer"/>
    <w:basedOn w:val="1"/>
    <w:link w:val="184"/>
    <w:qFormat/>
    <w:uiPriority w:val="0"/>
    <w:pPr>
      <w:tabs>
        <w:tab w:val="center" w:pos="4153"/>
        <w:tab w:val="right" w:pos="8306"/>
      </w:tabs>
      <w:jc w:val="left"/>
    </w:pPr>
    <w:rPr>
      <w:sz w:val="18"/>
      <w:szCs w:val="18"/>
    </w:rPr>
  </w:style>
  <w:style w:type="paragraph" w:styleId="19">
    <w:name w:val="header"/>
    <w:basedOn w:val="1"/>
    <w:link w:val="183"/>
    <w:qFormat/>
    <w:uiPriority w:val="0"/>
    <w:pPr>
      <w:pBdr>
        <w:bottom w:val="single" w:color="000000" w:sz="6" w:space="1"/>
      </w:pBdr>
      <w:tabs>
        <w:tab w:val="center" w:pos="4153"/>
        <w:tab w:val="right" w:pos="8306"/>
      </w:tabs>
      <w:jc w:val="center"/>
    </w:pPr>
    <w:rPr>
      <w:sz w:val="18"/>
      <w:szCs w:val="18"/>
    </w:r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qFormat/>
    <w:uiPriority w:val="39"/>
    <w:pPr>
      <w:spacing w:after="57"/>
      <w:ind w:left="850" w:right="0" w:firstLine="0"/>
    </w:pPr>
  </w:style>
  <w:style w:type="paragraph" w:styleId="22">
    <w:name w:val="Subtitle"/>
    <w:basedOn w:val="1"/>
    <w:next w:val="1"/>
    <w:link w:val="47"/>
    <w:qFormat/>
    <w:uiPriority w:val="11"/>
    <w:pPr>
      <w:spacing w:before="200" w:after="200"/>
    </w:pPr>
    <w:rPr>
      <w:sz w:val="24"/>
      <w:szCs w:val="24"/>
    </w:rPr>
  </w:style>
  <w:style w:type="paragraph" w:styleId="23">
    <w:name w:val="footnote text"/>
    <w:basedOn w:val="1"/>
    <w:link w:val="180"/>
    <w:semiHidden/>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table of figures"/>
    <w:basedOn w:val="1"/>
    <w:next w:val="1"/>
    <w:unhideWhenUsed/>
    <w:qFormat/>
    <w:uiPriority w:val="99"/>
    <w:pPr>
      <w:spacing w:after="0" w:afterAutospacing="0"/>
    </w:pPr>
  </w:style>
  <w:style w:type="paragraph" w:styleId="26">
    <w:name w:val="toc 2"/>
    <w:basedOn w:val="1"/>
    <w:next w:val="1"/>
    <w:unhideWhenUsed/>
    <w:qFormat/>
    <w:uiPriority w:val="39"/>
    <w:pPr>
      <w:spacing w:after="57"/>
      <w:ind w:left="283" w:right="0" w:firstLine="0"/>
    </w:pPr>
  </w:style>
  <w:style w:type="paragraph" w:styleId="27">
    <w:name w:val="toc 9"/>
    <w:basedOn w:val="1"/>
    <w:next w:val="1"/>
    <w:unhideWhenUsed/>
    <w:qFormat/>
    <w:uiPriority w:val="39"/>
    <w:pPr>
      <w:spacing w:after="57"/>
      <w:ind w:left="2268" w:right="0" w:firstLine="0"/>
    </w:pPr>
  </w:style>
  <w:style w:type="paragraph" w:styleId="28">
    <w:name w:val="Normal (Web)"/>
    <w:basedOn w:val="1"/>
    <w:qFormat/>
    <w:uiPriority w:val="0"/>
    <w:pPr>
      <w:spacing w:beforeAutospacing="1" w:afterAutospacing="1"/>
      <w:jc w:val="left"/>
    </w:pPr>
    <w:rPr>
      <w:rFonts w:cs="Times New Roman"/>
      <w:sz w:val="24"/>
    </w:rPr>
  </w:style>
  <w:style w:type="paragraph" w:styleId="29">
    <w:name w:val="Title"/>
    <w:basedOn w:val="1"/>
    <w:next w:val="1"/>
    <w:link w:val="46"/>
    <w:qFormat/>
    <w:uiPriority w:val="10"/>
    <w:pPr>
      <w:spacing w:before="300" w:after="200"/>
      <w:contextualSpacing/>
    </w:pPr>
    <w:rPr>
      <w:sz w:val="48"/>
      <w:szCs w:val="48"/>
    </w:rPr>
  </w:style>
  <w:style w:type="table" w:styleId="31">
    <w:name w:val="Table Grid"/>
    <w:basedOn w:val="30"/>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3">
    <w:name w:val="endnote reference"/>
    <w:basedOn w:val="32"/>
    <w:semiHidden/>
    <w:unhideWhenUsed/>
    <w:qFormat/>
    <w:uiPriority w:val="99"/>
    <w:rPr>
      <w:vertAlign w:val="superscript"/>
    </w:rPr>
  </w:style>
  <w:style w:type="character" w:styleId="34">
    <w:name w:val="Hyperlink"/>
    <w:unhideWhenUsed/>
    <w:qFormat/>
    <w:uiPriority w:val="99"/>
    <w:rPr>
      <w:color w:val="0563C1" w:themeColor="hyperlink"/>
      <w:u w:val="single"/>
      <w14:textFill>
        <w14:solidFill>
          <w14:schemeClr w14:val="hlink"/>
        </w14:solidFill>
      </w14:textFill>
    </w:rPr>
  </w:style>
  <w:style w:type="character" w:styleId="35">
    <w:name w:val="footnote reference"/>
    <w:basedOn w:val="32"/>
    <w:unhideWhenUsed/>
    <w:qFormat/>
    <w:uiPriority w:val="99"/>
    <w:rPr>
      <w:vertAlign w:val="superscript"/>
    </w:rPr>
  </w:style>
  <w:style w:type="character" w:customStyle="1" w:styleId="36">
    <w:name w:val="Heading 1 Char"/>
    <w:basedOn w:val="32"/>
    <w:link w:val="2"/>
    <w:qFormat/>
    <w:uiPriority w:val="9"/>
    <w:rPr>
      <w:rFonts w:ascii="等线" w:hAnsi="等线" w:eastAsia="等线" w:cs="等线"/>
      <w:sz w:val="40"/>
      <w:szCs w:val="40"/>
    </w:rPr>
  </w:style>
  <w:style w:type="character" w:customStyle="1" w:styleId="37">
    <w:name w:val="Heading 2 Char"/>
    <w:basedOn w:val="32"/>
    <w:link w:val="3"/>
    <w:qFormat/>
    <w:uiPriority w:val="9"/>
    <w:rPr>
      <w:rFonts w:ascii="等线" w:hAnsi="等线" w:eastAsia="等线" w:cs="等线"/>
      <w:sz w:val="34"/>
    </w:rPr>
  </w:style>
  <w:style w:type="character" w:customStyle="1" w:styleId="38">
    <w:name w:val="Heading 3 Char"/>
    <w:basedOn w:val="32"/>
    <w:link w:val="4"/>
    <w:qFormat/>
    <w:uiPriority w:val="9"/>
    <w:rPr>
      <w:rFonts w:ascii="等线" w:hAnsi="等线" w:eastAsia="等线" w:cs="等线"/>
      <w:sz w:val="30"/>
      <w:szCs w:val="30"/>
    </w:rPr>
  </w:style>
  <w:style w:type="character" w:customStyle="1" w:styleId="39">
    <w:name w:val="Heading 4 Char"/>
    <w:basedOn w:val="32"/>
    <w:link w:val="5"/>
    <w:qFormat/>
    <w:uiPriority w:val="9"/>
    <w:rPr>
      <w:rFonts w:ascii="等线" w:hAnsi="等线" w:eastAsia="等线" w:cs="等线"/>
      <w:b/>
      <w:bCs/>
      <w:sz w:val="26"/>
      <w:szCs w:val="26"/>
    </w:rPr>
  </w:style>
  <w:style w:type="character" w:customStyle="1" w:styleId="40">
    <w:name w:val="Heading 5 Char"/>
    <w:basedOn w:val="32"/>
    <w:link w:val="6"/>
    <w:qFormat/>
    <w:uiPriority w:val="9"/>
    <w:rPr>
      <w:rFonts w:ascii="等线" w:hAnsi="等线" w:eastAsia="等线" w:cs="等线"/>
      <w:b/>
      <w:bCs/>
      <w:sz w:val="24"/>
      <w:szCs w:val="24"/>
    </w:rPr>
  </w:style>
  <w:style w:type="character" w:customStyle="1" w:styleId="41">
    <w:name w:val="Heading 6 Char"/>
    <w:basedOn w:val="32"/>
    <w:link w:val="7"/>
    <w:qFormat/>
    <w:uiPriority w:val="9"/>
    <w:rPr>
      <w:rFonts w:ascii="等线" w:hAnsi="等线" w:eastAsia="等线" w:cs="等线"/>
      <w:b/>
      <w:bCs/>
      <w:sz w:val="22"/>
      <w:szCs w:val="22"/>
    </w:rPr>
  </w:style>
  <w:style w:type="character" w:customStyle="1" w:styleId="42">
    <w:name w:val="Heading 7 Char"/>
    <w:basedOn w:val="32"/>
    <w:link w:val="8"/>
    <w:qFormat/>
    <w:uiPriority w:val="9"/>
    <w:rPr>
      <w:rFonts w:ascii="等线" w:hAnsi="等线" w:eastAsia="等线" w:cs="等线"/>
      <w:b/>
      <w:bCs/>
      <w:i/>
      <w:iCs/>
      <w:sz w:val="22"/>
      <w:szCs w:val="22"/>
    </w:rPr>
  </w:style>
  <w:style w:type="character" w:customStyle="1" w:styleId="43">
    <w:name w:val="Heading 8 Char"/>
    <w:basedOn w:val="32"/>
    <w:link w:val="9"/>
    <w:qFormat/>
    <w:uiPriority w:val="9"/>
    <w:rPr>
      <w:rFonts w:ascii="等线" w:hAnsi="等线" w:eastAsia="等线" w:cs="等线"/>
      <w:i/>
      <w:iCs/>
      <w:sz w:val="22"/>
      <w:szCs w:val="22"/>
    </w:rPr>
  </w:style>
  <w:style w:type="character" w:customStyle="1" w:styleId="44">
    <w:name w:val="Heading 9 Char"/>
    <w:basedOn w:val="32"/>
    <w:link w:val="10"/>
    <w:qFormat/>
    <w:uiPriority w:val="9"/>
    <w:rPr>
      <w:rFonts w:ascii="等线" w:hAnsi="等线" w:eastAsia="等线" w:cs="等线"/>
      <w:i/>
      <w:iCs/>
      <w:sz w:val="21"/>
      <w:szCs w:val="21"/>
    </w:rPr>
  </w:style>
  <w:style w:type="paragraph" w:styleId="45">
    <w:name w:val="No Spacing"/>
    <w:qFormat/>
    <w:uiPriority w:val="1"/>
    <w:pPr>
      <w:spacing w:before="0" w:after="0" w:line="240" w:lineRule="auto"/>
    </w:pPr>
    <w:rPr>
      <w:rFonts w:hint="default" w:ascii="Times New Roman" w:hAnsi="Times New Roman" w:eastAsia="宋体" w:cs="Times New Roman"/>
    </w:rPr>
  </w:style>
  <w:style w:type="character" w:customStyle="1" w:styleId="46">
    <w:name w:val="Title Char"/>
    <w:basedOn w:val="32"/>
    <w:link w:val="29"/>
    <w:qFormat/>
    <w:uiPriority w:val="10"/>
    <w:rPr>
      <w:sz w:val="48"/>
      <w:szCs w:val="48"/>
    </w:rPr>
  </w:style>
  <w:style w:type="character" w:customStyle="1" w:styleId="47">
    <w:name w:val="Subtitle Char"/>
    <w:basedOn w:val="32"/>
    <w:link w:val="22"/>
    <w:qFormat/>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qFormat/>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qFormat/>
    <w:uiPriority w:val="30"/>
    <w:rPr>
      <w:i/>
    </w:rPr>
  </w:style>
  <w:style w:type="character" w:customStyle="1" w:styleId="52">
    <w:name w:val="Header Char"/>
    <w:basedOn w:val="32"/>
    <w:qFormat/>
    <w:uiPriority w:val="99"/>
  </w:style>
  <w:style w:type="character" w:customStyle="1" w:styleId="53">
    <w:name w:val="Footer Char"/>
    <w:basedOn w:val="32"/>
    <w:qFormat/>
    <w:uiPriority w:val="99"/>
  </w:style>
  <w:style w:type="character" w:customStyle="1" w:styleId="54">
    <w:name w:val="Caption Char"/>
    <w:qFormat/>
    <w:uiPriority w:val="99"/>
  </w:style>
  <w:style w:type="table" w:customStyle="1" w:styleId="55">
    <w:name w:val="Table Grid Light"/>
    <w:basedOn w:val="30"/>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6">
    <w:name w:val="Plain Table 1"/>
    <w:basedOn w:val="30"/>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7">
    <w:name w:val="Plain Table 2"/>
    <w:basedOn w:val="30"/>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8">
    <w:name w:val="Plain Table 3"/>
    <w:basedOn w:val="30"/>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4"/>
    <w:basedOn w:val="30"/>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Plain Table 5"/>
    <w:basedOn w:val="30"/>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1">
    <w:name w:val="Grid Table 1 Light"/>
    <w:basedOn w:val="30"/>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2">
    <w:name w:val="Grid Table 1 Light - Accent 1"/>
    <w:basedOn w:val="30"/>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63">
    <w:name w:val="Grid Table 1 Light - Accent 2"/>
    <w:basedOn w:val="30"/>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64">
    <w:name w:val="Grid Table 1 Light - Accent 3"/>
    <w:basedOn w:val="30"/>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65">
    <w:name w:val="Grid Table 1 Light - Accent 4"/>
    <w:basedOn w:val="30"/>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66">
    <w:name w:val="Grid Table 1 Light - Accent 5"/>
    <w:basedOn w:val="30"/>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67">
    <w:name w:val="Grid Table 1 Light - Accent 6"/>
    <w:basedOn w:val="30"/>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68">
    <w:name w:val="Grid Table 2"/>
    <w:basedOn w:val="30"/>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9">
    <w:name w:val="Grid Table 2 - Accent 1"/>
    <w:basedOn w:val="30"/>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0">
    <w:name w:val="Grid Table 2 - Accent 2"/>
    <w:basedOn w:val="30"/>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1">
    <w:name w:val="Grid Table 2 - Accent 3"/>
    <w:basedOn w:val="30"/>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2">
    <w:name w:val="Grid Table 2 - Accent 4"/>
    <w:basedOn w:val="30"/>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73">
    <w:name w:val="Grid Table 2 - Accent 5"/>
    <w:basedOn w:val="30"/>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74">
    <w:name w:val="Grid Table 2 - Accent 6"/>
    <w:basedOn w:val="30"/>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75">
    <w:name w:val="Grid Table 3"/>
    <w:basedOn w:val="30"/>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6">
    <w:name w:val="Grid Table 3 - Accent 1"/>
    <w:basedOn w:val="30"/>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7">
    <w:name w:val="Grid Table 3 - Accent 2"/>
    <w:basedOn w:val="30"/>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8">
    <w:name w:val="Grid Table 3 - Accent 3"/>
    <w:basedOn w:val="30"/>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9">
    <w:name w:val="Grid Table 3 - Accent 4"/>
    <w:basedOn w:val="30"/>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0">
    <w:name w:val="Grid Table 3 - Accent 5"/>
    <w:basedOn w:val="30"/>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1">
    <w:name w:val="Grid Table 3 - Accent 6"/>
    <w:basedOn w:val="30"/>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2">
    <w:name w:val="Grid Table 4"/>
    <w:basedOn w:val="30"/>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3">
    <w:name w:val="Grid Table 4 - Accent 1"/>
    <w:basedOn w:val="30"/>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2Vert"/>
    <w:tblStylePr w:type="band1Horz">
      <w:rPr>
        <w:rFonts w:ascii="Arial" w:hAnsi="Arial"/>
        <w:color w:val="404040"/>
        <w:sz w:val="22"/>
      </w:rPr>
      <w:tcPr>
        <w:shd w:val="clear" w:color="DEEBF6" w:themeColor="accent1" w:themeTint="32" w:fill="DEEBF6" w:themeFill="accent1" w:themeFillTint="32"/>
      </w:tcPr>
    </w:tblStylePr>
    <w:tblStylePr w:type="band2Horz"/>
    <w:tblStylePr w:type="neCell"/>
    <w:tblStylePr w:type="nwCell"/>
    <w:tblStylePr w:type="seCell"/>
    <w:tblStylePr w:type="swCell"/>
  </w:style>
  <w:style w:type="table" w:customStyle="1" w:styleId="84">
    <w:name w:val="Grid Table 4 - Accent 2"/>
    <w:basedOn w:val="30"/>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85">
    <w:name w:val="Grid Table 4 - Accent 3"/>
    <w:basedOn w:val="30"/>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86">
    <w:name w:val="Grid Table 4 - Accent 4"/>
    <w:basedOn w:val="30"/>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7">
    <w:name w:val="Grid Table 4 - Accent 5"/>
    <w:basedOn w:val="30"/>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8">
    <w:name w:val="Grid Table 4 - Accent 6"/>
    <w:basedOn w:val="30"/>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9">
    <w:name w:val="Grid Table 5 Dark"/>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0">
    <w:name w:val="Grid Table 5 Dark- Accent 1"/>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2Vert"/>
    <w:tblStylePr w:type="band1Horz">
      <w:tcPr>
        <w:shd w:val="clear" w:color="B3D1EB" w:themeColor="accent1" w:themeTint="75" w:fill="B3D1EB" w:themeFill="accent1" w:themeFillTint="75"/>
      </w:tcPr>
    </w:tblStylePr>
    <w:tblStylePr w:type="band2Horz"/>
    <w:tblStylePr w:type="neCell"/>
    <w:tblStylePr w:type="nwCell"/>
    <w:tblStylePr w:type="seCell"/>
    <w:tblStylePr w:type="swCell"/>
  </w:style>
  <w:style w:type="table" w:customStyle="1" w:styleId="91">
    <w:name w:val="Grid Table 5 Dark - Accent 2"/>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2Vert"/>
    <w:tblStylePr w:type="band1Horz">
      <w:tcPr>
        <w:shd w:val="clear" w:color="F6C3A0" w:themeColor="accent2" w:themeTint="75" w:fill="F6C3A0" w:themeFill="accent2" w:themeFillTint="75"/>
      </w:tcPr>
    </w:tblStylePr>
    <w:tblStylePr w:type="band2Horz"/>
    <w:tblStylePr w:type="neCell"/>
    <w:tblStylePr w:type="nwCell"/>
    <w:tblStylePr w:type="seCell"/>
    <w:tblStylePr w:type="swCell"/>
  </w:style>
  <w:style w:type="table" w:customStyle="1" w:styleId="92">
    <w:name w:val="Grid Table 5 Dark - Accent 3"/>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2Vert"/>
    <w:tblStylePr w:type="band1Horz">
      <w:tcPr>
        <w:shd w:val="clear" w:color="D5D5D5" w:themeColor="accent3" w:themeTint="75" w:fill="D5D5D5" w:themeFill="accent3" w:themeFillTint="75"/>
      </w:tcPr>
    </w:tblStylePr>
    <w:tblStylePr w:type="band2Horz"/>
    <w:tblStylePr w:type="neCell"/>
    <w:tblStylePr w:type="nwCell"/>
    <w:tblStylePr w:type="seCell"/>
    <w:tblStylePr w:type="swCell"/>
  </w:style>
  <w:style w:type="table" w:customStyle="1" w:styleId="93">
    <w:name w:val="Grid Table 5 Dark- Accent 4"/>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2Vert"/>
    <w:tblStylePr w:type="band1Horz">
      <w:tcPr>
        <w:shd w:val="clear" w:color="FEE289" w:themeColor="accent4" w:themeTint="75" w:fill="FEE289" w:themeFill="accent4" w:themeFillTint="75"/>
      </w:tcPr>
    </w:tblStylePr>
    <w:tblStylePr w:type="band2Horz"/>
    <w:tblStylePr w:type="neCell"/>
    <w:tblStylePr w:type="nwCell"/>
    <w:tblStylePr w:type="seCell"/>
    <w:tblStylePr w:type="swCell"/>
  </w:style>
  <w:style w:type="table" w:customStyle="1" w:styleId="94">
    <w:name w:val="Grid Table 5 Dark - Accent 5"/>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2Vert"/>
    <w:tblStylePr w:type="band1Horz">
      <w:tcPr>
        <w:shd w:val="clear" w:color="A9BEE3" w:themeColor="accent5" w:themeTint="75" w:fill="A9BEE3" w:themeFill="accent5" w:themeFillTint="75"/>
      </w:tcPr>
    </w:tblStylePr>
    <w:tblStylePr w:type="band2Horz"/>
    <w:tblStylePr w:type="neCell"/>
    <w:tblStylePr w:type="nwCell"/>
    <w:tblStylePr w:type="seCell"/>
    <w:tblStylePr w:type="swCell"/>
  </w:style>
  <w:style w:type="table" w:customStyle="1" w:styleId="95">
    <w:name w:val="Grid Table 5 Dark - Accent 6"/>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2Vert"/>
    <w:tblStylePr w:type="band1Horz">
      <w:tcPr>
        <w:shd w:val="clear" w:color="BCDBA8" w:themeColor="accent6" w:themeTint="75" w:fill="BCDBA8" w:themeFill="accent6" w:themeFillTint="75"/>
      </w:tcPr>
    </w:tblStylePr>
    <w:tblStylePr w:type="band2Horz"/>
    <w:tblStylePr w:type="neCell"/>
    <w:tblStylePr w:type="nwCell"/>
    <w:tblStylePr w:type="seCell"/>
    <w:tblStylePr w:type="swCell"/>
  </w:style>
  <w:style w:type="table" w:customStyle="1" w:styleId="96">
    <w:name w:val="Grid Table 6 Colorful"/>
    <w:basedOn w:val="30"/>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1"/>
    <w:basedOn w:val="30"/>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8">
    <w:name w:val="Grid Table 6 Colorful - Accent 2"/>
    <w:basedOn w:val="30"/>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9">
    <w:name w:val="Grid Table 6 Colorful - Accent 3"/>
    <w:basedOn w:val="30"/>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0">
    <w:name w:val="Grid Table 6 Colorful - Accent 4"/>
    <w:basedOn w:val="30"/>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1">
    <w:name w:val="Grid Table 6 Colorful - Accent 5"/>
    <w:basedOn w:val="30"/>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2">
    <w:name w:val="Grid Table 6 Colorful - Accent 6"/>
    <w:basedOn w:val="30"/>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2Vert"/>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3">
    <w:name w:val="Grid Table 7 Colorful"/>
    <w:basedOn w:val="30"/>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1"/>
    <w:basedOn w:val="30"/>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5">
    <w:name w:val="Grid Table 7 Colorful - Accent 2"/>
    <w:basedOn w:val="30"/>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6">
    <w:name w:val="Grid Table 7 Colorful - Accent 3"/>
    <w:basedOn w:val="30"/>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7">
    <w:name w:val="Grid Table 7 Colorful - Accent 4"/>
    <w:basedOn w:val="30"/>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8">
    <w:name w:val="Grid Table 7 Colorful - Accent 5"/>
    <w:basedOn w:val="30"/>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9">
    <w:name w:val="Grid Table 7 Colorful - Accent 6"/>
    <w:basedOn w:val="30"/>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2Vert"/>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10">
    <w:name w:val="List Table 1 Light"/>
    <w:basedOn w:val="30"/>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1">
    <w:name w:val="List Table 1 Light - Accent 1"/>
    <w:basedOn w:val="30"/>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2Vert"/>
    <w:tblStylePr w:type="band1Horz">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2">
    <w:name w:val="List Table 1 Light - Accent 2"/>
    <w:basedOn w:val="30"/>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2Vert"/>
    <w:tblStylePr w:type="band1Horz">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13">
    <w:name w:val="List Table 1 Light - Accent 3"/>
    <w:basedOn w:val="30"/>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2Vert"/>
    <w:tblStylePr w:type="band1Horz">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14">
    <w:name w:val="List Table 1 Light - Accent 4"/>
    <w:basedOn w:val="30"/>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2Vert"/>
    <w:tblStylePr w:type="band1Horz">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15">
    <w:name w:val="List Table 1 Light - Accent 5"/>
    <w:basedOn w:val="30"/>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2Vert"/>
    <w:tblStylePr w:type="band1Horz">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16">
    <w:name w:val="List Table 1 Light - Accent 6"/>
    <w:basedOn w:val="30"/>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2Vert"/>
    <w:tblStylePr w:type="band1Horz">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17">
    <w:name w:val="List Table 2"/>
    <w:basedOn w:val="30"/>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8">
    <w:name w:val="List Table 2 - Accent 1"/>
    <w:basedOn w:val="30"/>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9">
    <w:name w:val="List Table 2 - Accent 2"/>
    <w:basedOn w:val="30"/>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20">
    <w:name w:val="List Table 2 - Accent 3"/>
    <w:basedOn w:val="30"/>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21">
    <w:name w:val="List Table 2 - Accent 4"/>
    <w:basedOn w:val="30"/>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22">
    <w:name w:val="List Table 2 - Accent 5"/>
    <w:basedOn w:val="30"/>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23">
    <w:name w:val="List Table 2 - Accent 6"/>
    <w:basedOn w:val="30"/>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24">
    <w:name w:val="List Table 3"/>
    <w:basedOn w:val="30"/>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5">
    <w:name w:val="List Table 3 - Accent 1"/>
    <w:basedOn w:val="30"/>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2Vert"/>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2Horz"/>
    <w:tblStylePr w:type="neCell"/>
    <w:tblStylePr w:type="nwCell"/>
    <w:tblStylePr w:type="seCell"/>
    <w:tblStylePr w:type="swCell"/>
  </w:style>
  <w:style w:type="table" w:customStyle="1" w:styleId="126">
    <w:name w:val="List Table 3 - Accent 2"/>
    <w:basedOn w:val="30"/>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27">
    <w:name w:val="List Table 3 - Accent 3"/>
    <w:basedOn w:val="30"/>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28">
    <w:name w:val="List Table 3 - Accent 4"/>
    <w:basedOn w:val="30"/>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29">
    <w:name w:val="List Table 3 - Accent 5"/>
    <w:basedOn w:val="30"/>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2Vert"/>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tblStylePr w:type="band2Horz"/>
    <w:tblStylePr w:type="neCell"/>
    <w:tblStylePr w:type="nwCell"/>
    <w:tblStylePr w:type="seCell"/>
    <w:tblStylePr w:type="swCell"/>
  </w:style>
  <w:style w:type="table" w:customStyle="1" w:styleId="130">
    <w:name w:val="List Table 3 - Accent 6"/>
    <w:basedOn w:val="30"/>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31">
    <w:name w:val="List Table 4"/>
    <w:basedOn w:val="30"/>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2">
    <w:name w:val="List Table 4 - Accent 1"/>
    <w:basedOn w:val="30"/>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33">
    <w:name w:val="List Table 4 - Accent 2"/>
    <w:basedOn w:val="30"/>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34">
    <w:name w:val="List Table 4 - Accent 3"/>
    <w:basedOn w:val="30"/>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35">
    <w:name w:val="List Table 4 - Accent 4"/>
    <w:basedOn w:val="30"/>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36">
    <w:name w:val="List Table 4 - Accent 5"/>
    <w:basedOn w:val="30"/>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37">
    <w:name w:val="List Table 4 - Accent 6"/>
    <w:basedOn w:val="30"/>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38">
    <w:name w:val="List Table 5 Dark"/>
    <w:basedOn w:val="30"/>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9">
    <w:name w:val="List Table 5 Dark - Accent 1"/>
    <w:basedOn w:val="30"/>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tblStylePr w:type="neCell"/>
    <w:tblStylePr w:type="nwCell"/>
    <w:tblStylePr w:type="seCell"/>
    <w:tblStylePr w:type="swCell"/>
  </w:style>
  <w:style w:type="table" w:customStyle="1" w:styleId="140">
    <w:name w:val="List Table 5 Dark - Accent 2"/>
    <w:basedOn w:val="30"/>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StylePr w:type="nwCell"/>
    <w:tblStylePr w:type="seCell"/>
    <w:tblStylePr w:type="swCell"/>
  </w:style>
  <w:style w:type="table" w:customStyle="1" w:styleId="141">
    <w:name w:val="List Table 5 Dark - Accent 3"/>
    <w:basedOn w:val="30"/>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StylePr w:type="nwCell"/>
    <w:tblStylePr w:type="seCell"/>
    <w:tblStylePr w:type="swCell"/>
  </w:style>
  <w:style w:type="table" w:customStyle="1" w:styleId="142">
    <w:name w:val="List Table 5 Dark - Accent 4"/>
    <w:basedOn w:val="30"/>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StylePr w:type="nwCell"/>
    <w:tblStylePr w:type="seCell"/>
    <w:tblStylePr w:type="swCell"/>
  </w:style>
  <w:style w:type="table" w:customStyle="1" w:styleId="143">
    <w:name w:val="List Table 5 Dark - Accent 5"/>
    <w:basedOn w:val="30"/>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StylePr w:type="nwCell"/>
    <w:tblStylePr w:type="seCell"/>
    <w:tblStylePr w:type="swCell"/>
  </w:style>
  <w:style w:type="table" w:customStyle="1" w:styleId="144">
    <w:name w:val="List Table 5 Dark - Accent 6"/>
    <w:basedOn w:val="30"/>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StylePr w:type="nwCell"/>
    <w:tblStylePr w:type="seCell"/>
    <w:tblStylePr w:type="swCell"/>
  </w:style>
  <w:style w:type="table" w:customStyle="1" w:styleId="145">
    <w:name w:val="List Table 6 Colorful"/>
    <w:basedOn w:val="30"/>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6">
    <w:name w:val="List Table 6 Colorful - Accent 1"/>
    <w:basedOn w:val="30"/>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47">
    <w:name w:val="List Table 6 Colorful - Accent 2"/>
    <w:basedOn w:val="30"/>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8">
    <w:name w:val="List Table 6 Colorful - Accent 3"/>
    <w:basedOn w:val="30"/>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4"/>
    <w:basedOn w:val="30"/>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5"/>
    <w:basedOn w:val="30"/>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1">
    <w:name w:val="List Table 6 Colorful - Accent 6"/>
    <w:basedOn w:val="30"/>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2">
    <w:name w:val="List Table 7 Colorful"/>
    <w:basedOn w:val="30"/>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3">
    <w:name w:val="List Table 7 Colorful - Accent 1"/>
    <w:basedOn w:val="30"/>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54">
    <w:name w:val="List Table 7 Colorful - Accent 2"/>
    <w:basedOn w:val="30"/>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5">
    <w:name w:val="List Table 7 Colorful - Accent 3"/>
    <w:basedOn w:val="30"/>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4"/>
    <w:basedOn w:val="30"/>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5"/>
    <w:basedOn w:val="30"/>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8">
    <w:name w:val="List Table 7 Colorful - Accent 6"/>
    <w:basedOn w:val="30"/>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9">
    <w:name w:val="Lined - Accent"/>
    <w:basedOn w:val="30"/>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0">
    <w:name w:val="Lined - Accent 1"/>
    <w:basedOn w:val="30"/>
    <w:qFormat/>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1">
    <w:name w:val="Lined - Accent 2"/>
    <w:basedOn w:val="30"/>
    <w:qFormat/>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2">
    <w:name w:val="Lined - Accent 3"/>
    <w:basedOn w:val="30"/>
    <w:qFormat/>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63">
    <w:name w:val="Lined - Accent 4"/>
    <w:basedOn w:val="30"/>
    <w:qFormat/>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64">
    <w:name w:val="Lined - Accent 5"/>
    <w:basedOn w:val="30"/>
    <w:qFormat/>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65">
    <w:name w:val="Lined - Accent 6"/>
    <w:basedOn w:val="30"/>
    <w:qFormat/>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66">
    <w:name w:val="Bordered &amp; Lined - Accent"/>
    <w:basedOn w:val="30"/>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7">
    <w:name w:val="Bordered &amp; Lined - Accent 1"/>
    <w:basedOn w:val="30"/>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8">
    <w:name w:val="Bordered &amp; Lined - Accent 2"/>
    <w:basedOn w:val="30"/>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9">
    <w:name w:val="Bordered &amp; Lined - Accent 3"/>
    <w:basedOn w:val="30"/>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70">
    <w:name w:val="Bordered &amp; Lined - Accent 4"/>
    <w:basedOn w:val="30"/>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71">
    <w:name w:val="Bordered &amp; Lined - Accent 5"/>
    <w:basedOn w:val="30"/>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72">
    <w:name w:val="Bordered &amp; Lined - Accent 6"/>
    <w:basedOn w:val="30"/>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73">
    <w:name w:val="Bordered"/>
    <w:basedOn w:val="30"/>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4">
    <w:name w:val="Bordered - Accent 1"/>
    <w:basedOn w:val="30"/>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175">
    <w:name w:val="Bordered - Accent 2"/>
    <w:basedOn w:val="30"/>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76">
    <w:name w:val="Bordered - Accent 3"/>
    <w:basedOn w:val="30"/>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77">
    <w:name w:val="Bordered - Accent 4"/>
    <w:basedOn w:val="30"/>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78">
    <w:name w:val="Bordered - Accent 5"/>
    <w:basedOn w:val="30"/>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179">
    <w:name w:val="Bordered - Accent 6"/>
    <w:basedOn w:val="30"/>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80">
    <w:name w:val="Footnote Text Char"/>
    <w:link w:val="23"/>
    <w:qFormat/>
    <w:uiPriority w:val="99"/>
    <w:rPr>
      <w:sz w:val="18"/>
    </w:rPr>
  </w:style>
  <w:style w:type="character" w:customStyle="1" w:styleId="181">
    <w:name w:val="Endnote Text Char"/>
    <w:link w:val="17"/>
    <w:qFormat/>
    <w:uiPriority w:val="99"/>
    <w:rPr>
      <w:sz w:val="20"/>
    </w:rPr>
  </w:style>
  <w:style w:type="paragraph" w:customStyle="1" w:styleId="182">
    <w:name w:val="TOC Heading"/>
    <w:unhideWhenUsed/>
    <w:qFormat/>
    <w:uiPriority w:val="39"/>
    <w:rPr>
      <w:rFonts w:hint="default" w:ascii="Times New Roman" w:hAnsi="Times New Roman" w:eastAsia="宋体" w:cs="Times New Roman"/>
    </w:rPr>
  </w:style>
  <w:style w:type="character" w:customStyle="1" w:styleId="183">
    <w:name w:val="页眉 Char"/>
    <w:basedOn w:val="32"/>
    <w:link w:val="19"/>
    <w:qFormat/>
    <w:uiPriority w:val="0"/>
    <w:rPr>
      <w:rFonts w:ascii="Calibri"/>
      <w:sz w:val="18"/>
      <w:szCs w:val="18"/>
    </w:rPr>
  </w:style>
  <w:style w:type="character" w:customStyle="1" w:styleId="184">
    <w:name w:val="页脚 Char"/>
    <w:basedOn w:val="32"/>
    <w:link w:val="18"/>
    <w:qFormat/>
    <w:uiPriority w:val="0"/>
    <w:rPr>
      <w:rFonts w:ascii="Calibri"/>
      <w:sz w:val="18"/>
      <w:szCs w:val="18"/>
    </w:rPr>
  </w:style>
  <w:style w:type="paragraph" w:customStyle="1" w:styleId="185">
    <w:name w:val="段落"/>
    <w:basedOn w:val="1"/>
    <w:qFormat/>
    <w:uiPriority w:val="0"/>
    <w:pPr>
      <w:spacing w:line="360" w:lineRule="auto"/>
      <w:ind w:firstLine="200"/>
    </w:pPr>
    <w:rPr>
      <w:rFonts w:ascii="Times New Roman" w:hAnsi="Times New Roman"/>
      <w:sz w:val="28"/>
    </w:rPr>
  </w:style>
  <w:style w:type="paragraph" w:customStyle="1" w:styleId="186">
    <w:name w:val="index heading1"/>
    <w:basedOn w:val="1"/>
    <w:next w:val="187"/>
    <w:qFormat/>
    <w:uiPriority w:val="99"/>
    <w:rPr>
      <w:rFonts w:ascii="Arial" w:hAnsi="Arial" w:cs="Arial"/>
      <w:b/>
      <w:bCs/>
    </w:rPr>
  </w:style>
  <w:style w:type="paragraph" w:customStyle="1" w:styleId="187">
    <w:name w:val="index 11"/>
    <w:basedOn w:val="1"/>
    <w:next w:val="1"/>
    <w:qFormat/>
    <w:uiPriority w:val="99"/>
  </w:style>
  <w:style w:type="paragraph" w:customStyle="1" w:styleId="188">
    <w:name w:val="样式1"/>
    <w:qFormat/>
    <w:uiPriority w:val="0"/>
    <w:pPr>
      <w:spacing w:line="360" w:lineRule="auto"/>
      <w:ind w:firstLine="200"/>
      <w:jc w:val="both"/>
    </w:pPr>
    <w:rPr>
      <w:rFonts w:hint="default" w:asciiTheme="minorHAnsi" w:hAnsiTheme="minorHAnsi" w:eastAsiaTheme="minorEastAsia" w:cstheme="minorBidi"/>
      <w:sz w:val="21"/>
      <w:szCs w:val="22"/>
    </w:rPr>
  </w:style>
  <w:style w:type="paragraph" w:styleId="189">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13347</Words>
  <Characters>14105</Characters>
  <TotalTime>0</TotalTime>
  <ScaleCrop>false</ScaleCrop>
  <LinksUpToDate>false</LinksUpToDate>
  <CharactersWithSpaces>14268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2022-01-21T07:54:00Z</dcterms:created>
  <dc:creator>散步的鱼</dc:creator>
  <cp:lastModifiedBy>党建组</cp:lastModifiedBy>
  <dcterms:modified xsi:type="dcterms:W3CDTF">2025-05-31T04:05:13Z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6A44561BB71E4234BCB3E14A2487EDCD_13</vt:lpwstr>
  </property>
  <property fmtid="{D5CDD505-2E9C-101B-9397-08002B2CF9AE}" pid="4" name="KSOTemplateDocerSaveRecord">
    <vt:lpwstr>eyJoZGlkIjoiNzFkNjkxYjg4NjE5NzEwMjg4YzNkMjYxMjE1NTVjZDMifQ==</vt:lpwstr>
  </property>
</Properties>
</file>