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15DAB">
      <w:pPr>
        <w:rPr>
          <w:rFonts w:hint="eastAsia" w:ascii="方正小标宋简体" w:hAnsi="方正小标宋简体" w:eastAsia="方正小标宋简体" w:cs="方正小标宋简体"/>
          <w:sz w:val="40"/>
          <w:szCs w:val="48"/>
          <w:lang w:eastAsia="zh-CN"/>
        </w:rPr>
      </w:pPr>
    </w:p>
    <w:p w14:paraId="67D4741C">
      <w:pPr>
        <w:jc w:val="center"/>
        <w:rPr>
          <w:rFonts w:hint="eastAsia" w:ascii="方正小标宋简体" w:hAnsi="方正小标宋简体" w:eastAsia="方正小标宋简体" w:cs="方正小标宋简体"/>
          <w:sz w:val="40"/>
          <w:szCs w:val="48"/>
          <w:lang w:val="en-US" w:eastAsia="zh-CN"/>
        </w:rPr>
      </w:pPr>
      <w:r>
        <w:rPr>
          <w:rFonts w:hint="eastAsia" w:ascii="方正小标宋简体" w:hAnsi="方正小标宋简体" w:eastAsia="方正小标宋简体" w:cs="方正小标宋简体"/>
          <w:sz w:val="40"/>
          <w:szCs w:val="48"/>
          <w:lang w:eastAsia="zh-CN"/>
        </w:rPr>
        <w:t>关于山丹县</w:t>
      </w:r>
      <w:r>
        <w:rPr>
          <w:rFonts w:hint="eastAsia" w:ascii="方正小标宋简体" w:hAnsi="方正小标宋简体" w:eastAsia="方正小标宋简体" w:cs="方正小标宋简体"/>
          <w:sz w:val="40"/>
          <w:szCs w:val="48"/>
          <w:lang w:val="en-US" w:eastAsia="zh-CN"/>
        </w:rPr>
        <w:t>2024年政府性基金决算</w:t>
      </w:r>
    </w:p>
    <w:p w14:paraId="74206992">
      <w:pPr>
        <w:jc w:val="center"/>
        <w:rPr>
          <w:rFonts w:hint="eastAsia" w:ascii="方正小标宋简体" w:hAnsi="方正小标宋简体" w:eastAsia="方正小标宋简体" w:cs="方正小标宋简体"/>
          <w:sz w:val="40"/>
          <w:szCs w:val="48"/>
          <w:lang w:val="en-US" w:eastAsia="zh-CN"/>
        </w:rPr>
      </w:pPr>
      <w:r>
        <w:rPr>
          <w:rFonts w:hint="eastAsia" w:ascii="方正小标宋简体" w:hAnsi="方正小标宋简体" w:eastAsia="方正小标宋简体" w:cs="方正小标宋简体"/>
          <w:sz w:val="40"/>
          <w:szCs w:val="48"/>
          <w:lang w:val="en-US" w:eastAsia="zh-CN"/>
        </w:rPr>
        <w:t>及相关政策的说明</w:t>
      </w:r>
    </w:p>
    <w:p w14:paraId="25CBC066">
      <w:pPr>
        <w:jc w:val="center"/>
        <w:rPr>
          <w:rFonts w:hint="eastAsia" w:ascii="方正小标宋简体" w:hAnsi="方正小标宋简体" w:eastAsia="方正小标宋简体" w:cs="方正小标宋简体"/>
          <w:sz w:val="40"/>
          <w:szCs w:val="48"/>
          <w:lang w:val="en-US" w:eastAsia="zh-CN"/>
        </w:rPr>
      </w:pPr>
    </w:p>
    <w:p w14:paraId="76963DDF">
      <w:pPr>
        <w:numPr>
          <w:ilvl w:val="0"/>
          <w:numId w:val="0"/>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收入决算</w:t>
      </w:r>
    </w:p>
    <w:p w14:paraId="6B80F876">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b/>
          <w:sz w:val="32"/>
          <w:szCs w:val="32"/>
          <w:lang w:eastAsia="zh-CN"/>
        </w:rPr>
      </w:pPr>
      <w:r>
        <w:rPr>
          <w:rFonts w:hint="default" w:ascii="Times New Roman" w:hAnsi="Times New Roman" w:eastAsia="仿宋_GB2312" w:cs="Times New Roman"/>
          <w:sz w:val="32"/>
          <w:szCs w:val="32"/>
          <w:lang w:val="en-US" w:eastAsia="zh-CN"/>
        </w:rPr>
        <w:t>2024年，山丹县</w:t>
      </w:r>
      <w:r>
        <w:rPr>
          <w:rFonts w:hint="default" w:ascii="Times New Roman" w:hAnsi="Times New Roman" w:eastAsia="仿宋_GB2312" w:cs="Times New Roman"/>
          <w:sz w:val="32"/>
          <w:szCs w:val="32"/>
        </w:rPr>
        <w:t>政府性基金收入完成5683万元，加上级补助收入9260万元、上年结余收入369万元、调入资金5369万元（因债务还本付息缺口大，调入公共预算平衡基金</w:t>
      </w:r>
      <w:bookmarkStart w:id="0" w:name="_GoBack"/>
      <w:bookmarkEnd w:id="0"/>
      <w:r>
        <w:rPr>
          <w:rFonts w:hint="default" w:ascii="Times New Roman" w:hAnsi="Times New Roman" w:eastAsia="仿宋_GB2312" w:cs="Times New Roman"/>
          <w:sz w:val="32"/>
          <w:szCs w:val="32"/>
        </w:rPr>
        <w:t>收支）、债务转贷收入31194万元后，决算总收入51875万元。</w:t>
      </w:r>
      <w:r>
        <w:rPr>
          <w:rFonts w:hint="default" w:ascii="Times New Roman" w:hAnsi="Times New Roman" w:eastAsia="仿宋_GB2312" w:cs="Times New Roman"/>
          <w:sz w:val="32"/>
          <w:szCs w:val="32"/>
          <w:lang w:eastAsia="zh-CN"/>
        </w:rPr>
        <w:t>其中：</w:t>
      </w:r>
    </w:p>
    <w:p w14:paraId="46E0563F">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农业土地开发资金收入146万元，增长17.74%；</w:t>
      </w:r>
    </w:p>
    <w:p w14:paraId="620435EA">
      <w:pPr>
        <w:keepNext w:val="0"/>
        <w:keepLines w:val="0"/>
        <w:pageBreakBefore w:val="0"/>
        <w:widowControl w:val="0"/>
        <w:kinsoku/>
        <w:wordWrap/>
        <w:topLinePunct w:val="0"/>
        <w:bidi w:val="0"/>
        <w:spacing w:line="600" w:lineRule="exact"/>
        <w:ind w:left="0" w:leftChars="0" w:firstLine="608" w:firstLineChars="200"/>
        <w:jc w:val="both"/>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8"/>
          <w:sz w:val="32"/>
          <w:szCs w:val="32"/>
        </w:rPr>
        <w:t>国有土地使用权出让收入3876万元，占调整预算的73.13%，下降34.37%（主要是土地出让金逐年减少）；</w:t>
      </w:r>
    </w:p>
    <w:p w14:paraId="654AE3A0">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城市基础设施配套费收入836万元，占</w:t>
      </w:r>
      <w:r>
        <w:rPr>
          <w:rFonts w:hint="default" w:ascii="Times New Roman" w:hAnsi="Times New Roman" w:eastAsia="仿宋_GB2312" w:cs="Times New Roman"/>
          <w:spacing w:val="-12"/>
          <w:sz w:val="32"/>
          <w:szCs w:val="32"/>
        </w:rPr>
        <w:t>调整</w:t>
      </w:r>
      <w:r>
        <w:rPr>
          <w:rFonts w:hint="default" w:ascii="Times New Roman" w:hAnsi="Times New Roman" w:eastAsia="仿宋_GB2312" w:cs="Times New Roman"/>
          <w:sz w:val="32"/>
          <w:szCs w:val="32"/>
        </w:rPr>
        <w:t>预算的92.89%，增长28.42%；</w:t>
      </w:r>
    </w:p>
    <w:p w14:paraId="09E2527F">
      <w:pPr>
        <w:keepNext w:val="0"/>
        <w:keepLines w:val="0"/>
        <w:pageBreakBefore w:val="0"/>
        <w:widowControl w:val="0"/>
        <w:kinsoku/>
        <w:wordWrap/>
        <w:overflowPunct/>
        <w:topLinePunct w:val="0"/>
        <w:autoSpaceDE/>
        <w:autoSpaceDN/>
        <w:bidi w:val="0"/>
        <w:adjustRightInd/>
        <w:snapToGrid/>
        <w:spacing w:line="587" w:lineRule="exact"/>
        <w:ind w:left="0" w:leftChars="0" w:firstLine="572" w:firstLineChars="200"/>
        <w:jc w:val="both"/>
        <w:textAlignment w:val="auto"/>
        <w:rPr>
          <w:rFonts w:hint="default" w:ascii="Times New Roman" w:hAnsi="Times New Roman" w:eastAsia="仿宋_GB2312" w:cs="Times New Roman"/>
          <w:spacing w:val="-17"/>
          <w:sz w:val="32"/>
          <w:szCs w:val="32"/>
        </w:rPr>
      </w:pPr>
      <w:r>
        <w:rPr>
          <w:rFonts w:hint="default" w:ascii="Times New Roman" w:hAnsi="Times New Roman" w:eastAsia="仿宋_GB2312" w:cs="Times New Roman"/>
          <w:spacing w:val="-17"/>
          <w:sz w:val="32"/>
          <w:szCs w:val="32"/>
        </w:rPr>
        <w:t>污水处理费收入58万元，占调整预算的58%，下降23.68%；</w:t>
      </w:r>
    </w:p>
    <w:p w14:paraId="1883D50F">
      <w:pPr>
        <w:keepNext w:val="0"/>
        <w:keepLines w:val="0"/>
        <w:pageBreakBefore w:val="0"/>
        <w:widowControl w:val="0"/>
        <w:kinsoku/>
        <w:wordWrap/>
        <w:overflowPunct/>
        <w:topLinePunct w:val="0"/>
        <w:autoSpaceDE/>
        <w:autoSpaceDN/>
        <w:bidi w:val="0"/>
        <w:adjustRightInd/>
        <w:snapToGrid/>
        <w:spacing w:line="587" w:lineRule="exact"/>
        <w:ind w:left="0" w:leftChars="0"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其</w:t>
      </w:r>
      <w:r>
        <w:rPr>
          <w:rFonts w:hint="default" w:ascii="Times New Roman" w:hAnsi="Times New Roman" w:eastAsia="仿宋_GB2312" w:cs="Times New Roman"/>
          <w:spacing w:val="6"/>
          <w:sz w:val="32"/>
          <w:szCs w:val="32"/>
        </w:rPr>
        <w:t>他政府性基金专项债务对应项目专项收入767万元，占调整预算的109.57%，较上年增长23.11%（主要是归集专债利息增加）</w:t>
      </w:r>
      <w:r>
        <w:rPr>
          <w:rFonts w:hint="eastAsia" w:ascii="Times New Roman" w:hAnsi="Times New Roman" w:eastAsia="仿宋_GB2312" w:cs="Times New Roman"/>
          <w:spacing w:val="6"/>
          <w:sz w:val="32"/>
          <w:szCs w:val="32"/>
          <w:lang w:eastAsia="zh-CN"/>
        </w:rPr>
        <w:t>。</w:t>
      </w:r>
    </w:p>
    <w:p w14:paraId="414ECCF1">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支出决算</w:t>
      </w:r>
    </w:p>
    <w:p w14:paraId="2DA7D564">
      <w:pPr>
        <w:keepNext w:val="0"/>
        <w:keepLines w:val="0"/>
        <w:pageBreakBefore w:val="0"/>
        <w:widowControl w:val="0"/>
        <w:kinsoku/>
        <w:wordWrap/>
        <w:overflowPunct/>
        <w:topLinePunct w:val="0"/>
        <w:autoSpaceDE/>
        <w:autoSpaceDN/>
        <w:bidi w:val="0"/>
        <w:adjustRightInd/>
        <w:snapToGrid/>
        <w:spacing w:line="587"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年初预算13566万元加预算执行中的上级补助、债券转贷、上年结余及超短收等调整因素增支25844万元，调整预算为39410万元。当年决算支出35656万元，占调整预算的90.47%，较上年增长2.08%。</w:t>
      </w:r>
    </w:p>
    <w:p w14:paraId="5EBA8AC3">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城乡社区支出8282万元，占调整预算的70.13%，增长137.65%（主要是棚户区改造专项债券收入安排的支出增加）； </w:t>
      </w:r>
    </w:p>
    <w:p w14:paraId="17510779">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农林水支出492万元，占调整预算的100%，增长122倍 （主要是大中型水库库区基金安排的支出大幅增加）；</w:t>
      </w:r>
    </w:p>
    <w:p w14:paraId="17C274D6">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资源勘探工业信息等支出2306万元，占调整预算的99.96%（主要是超长期特别国债资金投入增加）；</w:t>
      </w:r>
    </w:p>
    <w:p w14:paraId="6FC6E0E5">
      <w:pPr>
        <w:keepNext w:val="0"/>
        <w:keepLines w:val="0"/>
        <w:pageBreakBefore w:val="0"/>
        <w:widowControl w:val="0"/>
        <w:kinsoku/>
        <w:wordWrap/>
        <w:topLinePunct w:val="0"/>
        <w:bidi w:val="0"/>
        <w:spacing w:line="600" w:lineRule="exact"/>
        <w:ind w:left="0" w:leftChars="0" w:firstLine="640" w:firstLineChars="200"/>
        <w:jc w:val="both"/>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w:t>
      </w:r>
      <w:r>
        <w:rPr>
          <w:rFonts w:hint="default" w:ascii="Times New Roman" w:hAnsi="Times New Roman" w:eastAsia="仿宋_GB2312" w:cs="Times New Roman"/>
          <w:spacing w:val="6"/>
          <w:sz w:val="32"/>
          <w:szCs w:val="32"/>
        </w:rPr>
        <w:t>他支出17914万元，占调整预算的98.75%，下降26.41%（主要是专项债券收入安排的支出较同期减少）</w:t>
      </w:r>
      <w:r>
        <w:rPr>
          <w:rFonts w:hint="default" w:ascii="Times New Roman" w:hAnsi="Times New Roman" w:eastAsia="仿宋_GB2312" w:cs="Times New Roman"/>
          <w:sz w:val="32"/>
          <w:szCs w:val="32"/>
        </w:rPr>
        <w:t>；</w:t>
      </w:r>
    </w:p>
    <w:p w14:paraId="105D23C2">
      <w:pPr>
        <w:keepNext w:val="0"/>
        <w:keepLines w:val="0"/>
        <w:pageBreakBefore w:val="0"/>
        <w:widowControl w:val="0"/>
        <w:kinsoku/>
        <w:wordWrap/>
        <w:topLinePunct w:val="0"/>
        <w:bidi w:val="0"/>
        <w:spacing w:line="600" w:lineRule="exact"/>
        <w:ind w:left="0" w:leftChars="0" w:firstLine="548" w:firstLineChars="200"/>
        <w:jc w:val="both"/>
        <w:rPr>
          <w:rFonts w:hint="default" w:ascii="Times New Roman" w:hAnsi="Times New Roman" w:eastAsia="仿宋_GB2312" w:cs="Times New Roman"/>
          <w:spacing w:val="-23"/>
          <w:sz w:val="32"/>
          <w:szCs w:val="32"/>
        </w:rPr>
      </w:pPr>
      <w:r>
        <w:rPr>
          <w:rFonts w:hint="default" w:ascii="Times New Roman" w:hAnsi="Times New Roman" w:eastAsia="仿宋_GB2312" w:cs="Times New Roman"/>
          <w:spacing w:val="-23"/>
          <w:sz w:val="32"/>
          <w:szCs w:val="32"/>
        </w:rPr>
        <w:t>债务付息支出6634万元，占调整预算的100%，较上年增长1.41%；</w:t>
      </w:r>
    </w:p>
    <w:p w14:paraId="160C9E81">
      <w:pPr>
        <w:keepNext w:val="0"/>
        <w:keepLines w:val="0"/>
        <w:pageBreakBefore w:val="0"/>
        <w:widowControl w:val="0"/>
        <w:kinsoku/>
        <w:wordWrap/>
        <w:topLinePunct w:val="0"/>
        <w:bidi w:val="0"/>
        <w:spacing w:line="600" w:lineRule="exact"/>
        <w:ind w:left="0" w:leftChars="0" w:firstLine="577" w:firstLineChars="174"/>
        <w:jc w:val="both"/>
        <w:rPr>
          <w:rFonts w:hint="default" w:ascii="Times New Roman" w:hAnsi="Times New Roman" w:eastAsia="仿宋_GB2312" w:cs="Times New Roman"/>
          <w:spacing w:val="-8"/>
          <w:sz w:val="32"/>
          <w:szCs w:val="32"/>
        </w:rPr>
      </w:pPr>
      <w:r>
        <w:rPr>
          <w:rFonts w:hint="default" w:ascii="Times New Roman" w:hAnsi="Times New Roman" w:eastAsia="仿宋_GB2312" w:cs="Times New Roman"/>
          <w:spacing w:val="6"/>
          <w:sz w:val="32"/>
          <w:szCs w:val="32"/>
        </w:rPr>
        <w:t>债务发行费用支出28万元，占调整预算的100%，较上年下降15.15%；</w:t>
      </w:r>
    </w:p>
    <w:p w14:paraId="58190459">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hint="default" w:ascii="Times New Roman" w:hAnsi="Times New Roman" w:eastAsia="仿宋_GB2312" w:cs="Times New Roman"/>
          <w:sz w:val="32"/>
          <w:szCs w:val="32"/>
        </w:rPr>
        <w:t>当年决算支出35656万元，加调出资金671万元、债务还本支出11794万元后，决算总支出48121万元</w:t>
      </w:r>
      <w:r>
        <w:rPr>
          <w:rFonts w:eastAsia="仿宋_GB2312"/>
          <w:sz w:val="32"/>
          <w:szCs w:val="32"/>
        </w:rPr>
        <w:t>。</w:t>
      </w:r>
    </w:p>
    <w:p w14:paraId="1806DC72">
      <w:pPr>
        <w:numPr>
          <w:ilvl w:val="0"/>
          <w:numId w:val="0"/>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平衡情况</w:t>
      </w:r>
    </w:p>
    <w:p w14:paraId="350715D8">
      <w:pPr>
        <w:numPr>
          <w:numId w:val="0"/>
        </w:numPr>
        <w:ind w:firstLine="640" w:firstLineChars="200"/>
        <w:jc w:val="both"/>
        <w:rPr>
          <w:rFonts w:hint="default" w:ascii="Times New Roman" w:hAnsi="Times New Roman" w:eastAsia="黑体" w:cs="Times New Roman"/>
          <w:sz w:val="32"/>
          <w:szCs w:val="32"/>
          <w:lang w:val="en-US" w:eastAsia="zh-CN"/>
        </w:rPr>
      </w:pPr>
      <w:r>
        <w:rPr>
          <w:rFonts w:hint="default" w:ascii="Times New Roman" w:hAnsi="Times New Roman" w:eastAsia="仿宋_GB2312" w:cs="Times New Roman"/>
          <w:sz w:val="32"/>
          <w:szCs w:val="32"/>
        </w:rPr>
        <w:t>收支相抵，年末结转结余3754万元（主要是城区排水排涝超长期国债资金结转）。</w:t>
      </w:r>
    </w:p>
    <w:p w14:paraId="6AAEBC8A">
      <w:pPr>
        <w:numPr>
          <w:ilvl w:val="0"/>
          <w:numId w:val="0"/>
        </w:numPr>
        <w:ind w:left="0" w:leftChars="0" w:firstLine="640" w:firstLineChars="200"/>
        <w:jc w:val="both"/>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相关政策说明</w:t>
      </w:r>
    </w:p>
    <w:p w14:paraId="15F0F643">
      <w:pPr>
        <w:numPr>
          <w:numId w:val="0"/>
        </w:numPr>
        <w:ind w:firstLine="643" w:firstLineChars="200"/>
        <w:jc w:val="both"/>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1.国有土地使用权出让收入。</w:t>
      </w:r>
      <w:r>
        <w:rPr>
          <w:rFonts w:hint="default" w:ascii="Times New Roman" w:hAnsi="Times New Roman" w:eastAsia="仿宋_GB2312" w:cs="Times New Roman"/>
          <w:sz w:val="32"/>
          <w:szCs w:val="32"/>
          <w:lang w:val="en-US" w:eastAsia="zh-CN"/>
        </w:rPr>
        <w:t>根据《国务院办公厅关于规范国有土地使用权出让收支管理的通知》(国办发〔2006〕100号)、《甘肃省国有土地使用权出让收支管理办法》(甘肃省人民政府令第42号)等规定，国有土地使用权出让收入是指政府以出让等方式配置国有土地使用权取得的全部土地价款。从2007年起，省级财政按照市(州)国有土地使用权出让收入5%的比例分成。市(州)与县(市)分成比例由各地自定。支出范围包括：征地和拆迁补偿支出、土地开发支出、支农支出、城市建设支出以及其他支出等。</w:t>
      </w:r>
    </w:p>
    <w:p w14:paraId="7E8B7405">
      <w:pPr>
        <w:numPr>
          <w:numId w:val="0"/>
        </w:numPr>
        <w:ind w:firstLine="643" w:firstLineChars="200"/>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2.大中型水库库区基金。</w:t>
      </w:r>
      <w:r>
        <w:rPr>
          <w:rFonts w:hint="default" w:ascii="Times New Roman" w:hAnsi="Times New Roman" w:eastAsia="仿宋_GB2312" w:cs="Times New Roman"/>
          <w:sz w:val="32"/>
          <w:szCs w:val="32"/>
          <w:lang w:val="en-US" w:eastAsia="zh-CN"/>
        </w:rPr>
        <w:t>经国务院批准，2007年财政部印发了《大中型水库库区基金征收使用管理暂行办法》(财综〔2007〕26号)。该基金从有发电收入的大中型水库发电收入中筹集，根据水库实际上网销售电量，按不高于8厘/千瓦时的标准征收，主要用于支持实施库区及移民安置区基础设施建设和经济发展规划；支持库区防护工程和移民生产、生活设施</w:t>
      </w:r>
      <w:r>
        <w:rPr>
          <w:rFonts w:hint="default" w:ascii="Times New Roman" w:hAnsi="Times New Roman" w:eastAsia="仿宋_GB2312" w:cs="Times New Roman"/>
          <w:sz w:val="32"/>
          <w:szCs w:val="32"/>
          <w:lang w:val="en-US" w:eastAsia="zh-CN"/>
        </w:rPr>
        <w:t>维护；解决水库移民的其他遗留问题。其中，跨省际的大中型水库库区基金，上缴中央国库，由中央财政按规定的分享比例拨付相关省份。</w:t>
      </w:r>
    </w:p>
    <w:p w14:paraId="53E7C6B7">
      <w:pPr>
        <w:numPr>
          <w:ilvl w:val="0"/>
          <w:numId w:val="0"/>
        </w:numPr>
        <w:ind w:firstLine="643" w:firstLineChars="200"/>
        <w:rPr>
          <w:rFonts w:hint="default" w:ascii="Times New Roman" w:hAnsi="Times New Roman" w:eastAsia="仿宋_GB2312" w:cs="Times New Roman"/>
          <w:b w:val="0"/>
          <w:bCs w:val="0"/>
          <w:sz w:val="32"/>
          <w:szCs w:val="32"/>
          <w:lang w:val="en-US" w:eastAsia="zh-CN"/>
        </w:rPr>
      </w:pPr>
      <w:r>
        <w:rPr>
          <w:rFonts w:hint="eastAsia" w:ascii="楷体_GB2312" w:hAnsi="楷体_GB2312" w:eastAsia="楷体_GB2312" w:cs="楷体_GB2312"/>
          <w:b/>
          <w:bCs/>
          <w:sz w:val="32"/>
          <w:szCs w:val="32"/>
          <w:lang w:val="en-US" w:eastAsia="zh-CN"/>
        </w:rPr>
        <w:t>3.车辆通行费。</w:t>
      </w:r>
      <w:r>
        <w:rPr>
          <w:rFonts w:hint="default" w:ascii="Times New Roman" w:hAnsi="Times New Roman" w:eastAsia="仿宋_GB2312" w:cs="Times New Roman"/>
          <w:b w:val="0"/>
          <w:bCs w:val="0"/>
          <w:sz w:val="32"/>
          <w:szCs w:val="32"/>
          <w:lang w:val="en-US" w:eastAsia="zh-CN"/>
        </w:rPr>
        <w:t>根据《甘肃省省级车辆通行费收支预算管理办法》(甘财经二〔2018〕30号)，政府还贷公路车辆通行费包括通过各种收费方式收取的政府还贷高速公路、一级公路(含桥梁、隧道)车辆通行费。为支持国有企业化债和发展，近年省级部分收费公路运营管理权划转至省属国有企业，相应车辆通行费收入转为企业经营性收入。</w:t>
      </w:r>
    </w:p>
    <w:p w14:paraId="70CD20B2">
      <w:pPr>
        <w:ind w:firstLine="643" w:firstLineChars="200"/>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rPr>
        <w:t>4.彩票发行和销售机构业务费。</w:t>
      </w:r>
      <w:r>
        <w:rPr>
          <w:rFonts w:hint="default" w:ascii="Times New Roman" w:hAnsi="Times New Roman" w:eastAsia="仿宋_GB2312" w:cs="Times New Roman"/>
          <w:sz w:val="32"/>
          <w:szCs w:val="32"/>
        </w:rPr>
        <w:t>根据《彩票管理条例》《彩票管理实施细则》以及《财政部关于将彩票发行机构业务费纳入政府性基金预算管理有关问题的通知》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财综〔2015〕10号</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等规定，彩票发行和销售机构业务费由彩票发行和销售机构按照彩票销售额一定比例提取，并纳入政府性基金预算管理，专项用于彩票发行和销售活动。</w:t>
      </w:r>
    </w:p>
    <w:p w14:paraId="248E25C6">
      <w:pPr>
        <w:ind w:firstLine="643" w:firstLineChars="200"/>
        <w:rPr>
          <w:rFonts w:hint="default" w:ascii="Times New Roman" w:hAnsi="Times New Roman" w:eastAsia="仿宋_GB2312" w:cs="Times New Roman"/>
          <w:sz w:val="32"/>
          <w:szCs w:val="32"/>
        </w:rPr>
      </w:pPr>
      <w:r>
        <w:rPr>
          <w:rFonts w:hint="eastAsia" w:ascii="楷体_GB2312" w:hAnsi="楷体_GB2312" w:eastAsia="楷体_GB2312" w:cs="楷体_GB2312"/>
          <w:b/>
          <w:bCs/>
          <w:sz w:val="32"/>
          <w:szCs w:val="32"/>
        </w:rPr>
        <w:t>5.彩票公益金。</w:t>
      </w:r>
      <w:r>
        <w:rPr>
          <w:rFonts w:hint="default" w:ascii="Times New Roman" w:hAnsi="Times New Roman" w:eastAsia="仿宋_GB2312" w:cs="Times New Roman"/>
          <w:sz w:val="32"/>
          <w:szCs w:val="32"/>
        </w:rPr>
        <w:t>根据《彩票管理条例》《彩票管理实施细则》以及《财政部关于印发&lt;彩票公益金管理办法&gt;的通知》(财综〔2012〕15号)，彩票公益金是按照规定比例从彩票发行销售收入中提取的，专项用于社会福利、体育等社会公益事业的资金。彩票公益金分配政策是：中央与地方按5：5比例分配</w:t>
      </w:r>
      <w:r>
        <w:rPr>
          <w:rFonts w:hint="default" w:ascii="Times New Roman" w:hAnsi="Times New Roman" w:eastAsia="仿宋_GB2312" w:cs="Times New Roman"/>
          <w:sz w:val="32"/>
          <w:szCs w:val="32"/>
        </w:rPr>
        <w:t>。彩票公益金使用范围包括：红十字事业、残疾人事业、农村医疗救助、城市医疗救助、教育助学、未成年人校外教育事业、文化、扶贫、法律援助等。</w:t>
      </w:r>
    </w:p>
    <w:p w14:paraId="4E12CF04">
      <w:pPr>
        <w:ind w:firstLine="643" w:firstLineChars="200"/>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rPr>
        <w:t>6.专项债务对应项目专项收入。</w:t>
      </w:r>
      <w:r>
        <w:rPr>
          <w:rFonts w:hint="default" w:ascii="Times New Roman" w:hAnsi="Times New Roman" w:eastAsia="仿宋_GB2312" w:cs="Times New Roman"/>
          <w:sz w:val="32"/>
          <w:szCs w:val="32"/>
        </w:rPr>
        <w:t>反映地方政府专项债务对应项目形成、可用于偿付专项债务本息的经营收入。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511C4"/>
    <w:rsid w:val="09B51008"/>
    <w:rsid w:val="0A547DB0"/>
    <w:rsid w:val="0CA75583"/>
    <w:rsid w:val="0E8F62CF"/>
    <w:rsid w:val="0F717C0D"/>
    <w:rsid w:val="12902616"/>
    <w:rsid w:val="185365BF"/>
    <w:rsid w:val="1DBC69B5"/>
    <w:rsid w:val="1E2A1AD4"/>
    <w:rsid w:val="28777889"/>
    <w:rsid w:val="2B261911"/>
    <w:rsid w:val="2BA821DB"/>
    <w:rsid w:val="306C7DC6"/>
    <w:rsid w:val="321E3342"/>
    <w:rsid w:val="326C730B"/>
    <w:rsid w:val="41E2613A"/>
    <w:rsid w:val="434C41B3"/>
    <w:rsid w:val="45440EBA"/>
    <w:rsid w:val="4A154D89"/>
    <w:rsid w:val="4BD56D10"/>
    <w:rsid w:val="4C5365B2"/>
    <w:rsid w:val="4F1B712F"/>
    <w:rsid w:val="57250B4B"/>
    <w:rsid w:val="58BC54DF"/>
    <w:rsid w:val="5A096502"/>
    <w:rsid w:val="5E191340"/>
    <w:rsid w:val="6A9E67F3"/>
    <w:rsid w:val="6DA85BDA"/>
    <w:rsid w:val="6DD95D94"/>
    <w:rsid w:val="70894797"/>
    <w:rsid w:val="711A0B9D"/>
    <w:rsid w:val="728704B4"/>
    <w:rsid w:val="743B50B2"/>
    <w:rsid w:val="751F2C26"/>
    <w:rsid w:val="770C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2025-09-16T10:51:30Z</dcterms:created>
  <dc:creator>Administrator</dc:creator>
  <cp:lastModifiedBy>流年似水</cp:lastModifiedBy>
  <dcterms:modified xsi:type="dcterms:W3CDTF">2025-09-17T01:52:27Z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eyJoZGlkIjoiNmM1ZTFlNjU0MGI5NjVkNDQyODUxZDUyZDhlZjc2ZjkiLCJ1c2VySWQiOiI1NjUyMzEyNDcifQ==</vt:lpwstr>
  </property>
  <property fmtid="{D5CDD505-2E9C-101B-9397-08002B2CF9AE}" pid="4" name="ICV">
    <vt:lpwstr>19F378A327FF464DA4999C6AB5A5C4E8_12</vt:lpwstr>
  </property>
</Properties>
</file>