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lang w:eastAsia="zh-CN"/>
        </w:rPr>
        <w:t>202</w:t>
      </w:r>
      <w:r>
        <w:rPr>
          <w:rFonts w:hint="eastAsia" w:ascii="方正小标宋简体" w:eastAsia="方正小标宋简体"/>
          <w:color w:val="auto"/>
          <w:sz w:val="44"/>
          <w:szCs w:val="44"/>
          <w:lang w:val="en-US" w:eastAsia="zh-CN"/>
        </w:rPr>
        <w:t>3</w:t>
      </w:r>
      <w:r>
        <w:rPr>
          <w:rFonts w:hint="eastAsia" w:ascii="方正小标宋简体" w:eastAsia="方正小标宋简体"/>
          <w:color w:val="auto"/>
          <w:sz w:val="44"/>
          <w:szCs w:val="44"/>
          <w:lang w:eastAsia="zh-CN"/>
        </w:rPr>
        <w:t>年中央体育彩票公益金支持体育事业</w:t>
      </w:r>
      <w:r>
        <w:rPr>
          <w:rFonts w:hint="eastAsia" w:ascii="方正小标宋简体" w:eastAsia="方正小标宋简体"/>
          <w:color w:val="auto"/>
          <w:sz w:val="44"/>
          <w:szCs w:val="44"/>
          <w:lang w:val="en-US" w:eastAsia="zh-CN"/>
        </w:rPr>
        <w:t xml:space="preserve"> </w:t>
      </w:r>
      <w:r>
        <w:rPr>
          <w:rFonts w:hint="eastAsia" w:ascii="方正小标宋简体" w:eastAsia="方正小标宋简体"/>
          <w:color w:val="auto"/>
          <w:sz w:val="44"/>
          <w:szCs w:val="44"/>
          <w:lang w:eastAsia="zh-CN"/>
        </w:rPr>
        <w:t>（社区运动会）专项资金</w:t>
      </w:r>
      <w:r>
        <w:rPr>
          <w:rFonts w:hint="eastAsia" w:ascii="方正小标宋简体" w:eastAsia="方正小标宋简体"/>
          <w:color w:val="auto"/>
          <w:sz w:val="44"/>
          <w:szCs w:val="44"/>
        </w:rPr>
        <w:t>支出绩效自评报告</w:t>
      </w:r>
    </w:p>
    <w:p>
      <w:pPr>
        <w:jc w:val="center"/>
        <w:rPr>
          <w:rFonts w:ascii="Times New Roman" w:eastAsia="楷体_GB2312"/>
          <w:color w:val="auto"/>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rPr>
      </w:pPr>
      <w:r>
        <w:rPr>
          <w:rFonts w:hint="eastAsia" w:eastAsia="黑体"/>
          <w:color w:val="auto"/>
          <w:sz w:val="32"/>
          <w:szCs w:val="32"/>
        </w:rPr>
        <w:t>一、项目基本情况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eastAsia="楷体_GB2312"/>
          <w:b/>
          <w:color w:val="auto"/>
          <w:sz w:val="32"/>
          <w:szCs w:val="32"/>
        </w:rPr>
      </w:pPr>
      <w:r>
        <w:rPr>
          <w:rFonts w:hint="eastAsia" w:ascii="楷体_GB2312" w:eastAsia="楷体_GB2312"/>
          <w:b/>
          <w:color w:val="auto"/>
          <w:sz w:val="32"/>
          <w:szCs w:val="32"/>
        </w:rPr>
        <w:t>（一）项目概况</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为深入推动文化体育旅游融合发展，促进全民健身国家战略和健康中国战略实施，宣传长城文化，传承山丹历史，弘扬民族精神，经研究，决定举办202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年山丹县元旦长跑比赛及社区运动会。</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300" w:right="0" w:rightChars="0"/>
        <w:jc w:val="left"/>
        <w:textAlignment w:val="auto"/>
        <w:rPr>
          <w:rFonts w:hint="eastAsia" w:ascii="楷体_GB2312" w:eastAsia="楷体_GB2312"/>
          <w:b/>
          <w:color w:val="auto"/>
          <w:sz w:val="32"/>
          <w:szCs w:val="32"/>
        </w:rPr>
      </w:pPr>
      <w:r>
        <w:rPr>
          <w:rFonts w:hint="eastAsia" w:ascii="楷体_GB2312" w:eastAsia="楷体_GB2312"/>
          <w:b/>
          <w:color w:val="auto"/>
          <w:sz w:val="32"/>
          <w:szCs w:val="32"/>
          <w:lang w:eastAsia="zh-CN"/>
        </w:rPr>
        <w:t>（二）</w:t>
      </w:r>
      <w:r>
        <w:rPr>
          <w:rFonts w:hint="eastAsia" w:ascii="楷体_GB2312" w:eastAsia="楷体_GB2312"/>
          <w:b/>
          <w:color w:val="auto"/>
          <w:sz w:val="32"/>
          <w:szCs w:val="32"/>
        </w:rPr>
        <w:t>项目绩效目标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进一步传承山丹历史、弘扬民族精神、宣传长城文化，营造了浓厚的全民健身氛围，激励广大干部群众把“更快、更高、更强、更团结”的体育精神融入到干事创业中去，为实现县域经济高质量发展贡献力量，以实际行动</w:t>
      </w:r>
      <w:r>
        <w:rPr>
          <w:rFonts w:hint="eastAsia" w:ascii="仿宋_GB2312" w:eastAsia="仿宋_GB2312" w:cstheme="minorBidi"/>
          <w:color w:val="auto"/>
          <w:kern w:val="2"/>
          <w:sz w:val="32"/>
          <w:szCs w:val="32"/>
          <w:lang w:val="en-US" w:eastAsia="zh-CN" w:bidi="ar-SA"/>
        </w:rPr>
        <w:t>展现山丹体育风采。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二、项目资金情况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1.项目资金到位情况。财政预算安排2022年中央体育彩票公益金支持体育事业专项资金6万元，实际拨付6万元，资金到位率为100%。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2.项目资金使用情况。资金支付延期，暂未支付，</w:t>
      </w:r>
      <w:r>
        <w:rPr>
          <w:rFonts w:hint="eastAsia" w:ascii="仿宋" w:hAnsi="仿宋" w:eastAsia="仿宋" w:cs="仿宋"/>
          <w:kern w:val="0"/>
          <w:sz w:val="32"/>
          <w:szCs w:val="32"/>
          <w:lang w:bidi="ar"/>
        </w:rPr>
        <w:t>项目资金执行率为</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3.项目资金管理情况。我公司对该项目资金使用目标明确，资金管理，会计核算，财务审批制度健全。拨款程序规范，符合国家有关财务管理规定；项目支出严格按照项目进度进行审批把关，并按照会计制度的有关要求执行。</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auto"/>
          <w:sz w:val="32"/>
        </w:rPr>
      </w:pPr>
      <w:r>
        <w:rPr>
          <w:rFonts w:hint="eastAsia" w:ascii="黑体" w:hAnsi="黑体" w:eastAsia="黑体"/>
          <w:color w:val="auto"/>
          <w:sz w:val="32"/>
          <w:lang w:eastAsia="zh-CN"/>
        </w:rPr>
        <w:t>三</w:t>
      </w:r>
      <w:r>
        <w:rPr>
          <w:rFonts w:hint="eastAsia" w:ascii="黑体" w:hAnsi="黑体" w:eastAsia="黑体"/>
          <w:color w:val="auto"/>
          <w:sz w:val="32"/>
        </w:rPr>
        <w:t>、综合评价情况及评价结论</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楷体_GB2312" w:eastAsia="楷体_GB2312"/>
          <w:color w:val="auto"/>
          <w:sz w:val="32"/>
          <w:lang w:eastAsia="zh-CN"/>
        </w:rPr>
        <w:t>依</w:t>
      </w:r>
      <w:r>
        <w:rPr>
          <w:rFonts w:hint="eastAsia" w:ascii="仿宋" w:hAnsi="仿宋" w:eastAsia="仿宋" w:cs="仿宋"/>
          <w:color w:val="auto"/>
          <w:kern w:val="0"/>
          <w:sz w:val="32"/>
          <w:szCs w:val="32"/>
          <w:lang w:val="en-US" w:eastAsia="zh-CN" w:bidi="ar"/>
        </w:rPr>
        <w:t>据县级财政专项资金绩效评价指标体系，结合项目实施情况，对中央集中彩票公益金资金自评总得分87分。</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rPr>
      </w:pPr>
      <w:r>
        <w:rPr>
          <w:rFonts w:hint="eastAsia" w:ascii="黑体" w:hAnsi="黑体" w:eastAsia="黑体"/>
          <w:color w:val="auto"/>
          <w:sz w:val="32"/>
          <w:lang w:eastAsia="zh-CN"/>
        </w:rPr>
        <w:t>五、</w:t>
      </w:r>
      <w:r>
        <w:rPr>
          <w:rFonts w:hint="eastAsia" w:ascii="黑体" w:hAnsi="黑体" w:eastAsia="黑体"/>
          <w:color w:val="auto"/>
          <w:sz w:val="32"/>
        </w:rPr>
        <w:t>绩效评价结果应用建议</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1.通过这次绩效自评，对效益好的项目予以表扬，下一预算年度的同类项目优先安排；对绩效差的项目要进行通报批评，并对下一预算年度的同类项目资金予以调减或取消，同时列入局系统，县财政、县审计部门的重点监督对象。</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2.利用项目绩效监督将促进部门（单位）增强责任和效益观念，提高财政资金支出决策水平和管理水平。</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3.在绩效自评结果的运用中，还应积极探索建立绩效自评结果的责任追究制度，把绩效自评结果与经济责任审计，行政监察结合起来，建立公告警示制度，对绩效自评中发现损失浪费现象和其他违纪违规行为坚决进行揭露和处罚。</w:t>
      </w:r>
    </w:p>
    <w:p>
      <w:pPr>
        <w:keepNext w:val="0"/>
        <w:keepLines w:val="0"/>
        <w:pageBreakBefore w:val="0"/>
        <w:tabs>
          <w:tab w:val="left" w:pos="2141"/>
        </w:tabs>
        <w:kinsoku/>
        <w:wordWrap/>
        <w:overflowPunct/>
        <w:topLinePunct w:val="0"/>
        <w:autoSpaceDE/>
        <w:autoSpaceDN/>
        <w:bidi w:val="0"/>
        <w:adjustRightInd/>
        <w:snapToGrid/>
        <w:spacing w:line="560" w:lineRule="exact"/>
        <w:textAlignment w:val="auto"/>
        <w:rPr>
          <w:rFonts w:hint="eastAsia" w:ascii="黑体" w:hAnsi="黑体" w:eastAsia="黑体"/>
          <w:color w:val="auto"/>
          <w:sz w:val="32"/>
        </w:rPr>
      </w:pPr>
      <w:r>
        <w:rPr>
          <w:rFonts w:hint="eastAsia" w:ascii="仿宋_GB2312" w:hAnsi="仿宋_GB2312" w:eastAsia="仿宋_GB2312" w:cs="仿宋_GB2312"/>
          <w:color w:val="auto"/>
          <w:sz w:val="32"/>
          <w:szCs w:val="32"/>
          <w:lang w:val="en-US" w:eastAsia="zh-CN"/>
        </w:rPr>
        <w:t xml:space="preserve">    </w:t>
      </w:r>
      <w:r>
        <w:rPr>
          <w:rFonts w:hint="eastAsia" w:ascii="黑体" w:hAnsi="黑体" w:eastAsia="黑体"/>
          <w:color w:val="auto"/>
          <w:sz w:val="32"/>
          <w:lang w:eastAsia="zh-CN"/>
        </w:rPr>
        <w:t>六</w:t>
      </w:r>
      <w:r>
        <w:rPr>
          <w:rFonts w:hint="eastAsia" w:ascii="黑体" w:hAnsi="黑体" w:eastAsia="黑体"/>
          <w:color w:val="auto"/>
          <w:sz w:val="32"/>
        </w:rPr>
        <w:t>、主要经验及做法、存在的问题和建议</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（一）绩效自评工作的经验</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 xml:space="preserve">一是领导重视。项目单位领导高度重视专项资金的使用，严格资金的审批，提高资金的使用效益。而是管理规范。各项目单位都能按照项目资金管理办法来严格执行，强化监督检查，有效规范和加强专项资金的管理。三是专款专用。严格按照省、市专项资金管理办法的规定，做到专项核算、专项专用，没有截留，挤占现象。 </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（二）绩效自评工作的问题和建议</w:t>
      </w:r>
    </w:p>
    <w:p>
      <w:pPr>
        <w:keepNext w:val="0"/>
        <w:keepLines w:val="0"/>
        <w:pageBreakBefore w:val="0"/>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在实现没有经过专项资金绩效目标自评业务培训的情况下，开展这次绩效自评工作有很大的工作难度。因此，财政绩效评价管理部门，能够对各部门负责绩效目标评价工作的人员进行绩效目标评价业务培训，提高这类人员绩效目标评价的业务素质和对专项资金的管理能力。</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olor w:val="auto"/>
          <w:sz w:val="32"/>
        </w:rPr>
      </w:pPr>
      <w:r>
        <w:rPr>
          <w:rFonts w:hint="eastAsia" w:ascii="黑体" w:hAnsi="黑体" w:eastAsia="黑体"/>
          <w:color w:val="auto"/>
          <w:sz w:val="32"/>
          <w:lang w:eastAsia="zh-CN"/>
        </w:rPr>
        <w:t>七、</w:t>
      </w:r>
      <w:r>
        <w:rPr>
          <w:rFonts w:hint="eastAsia" w:ascii="黑体" w:hAnsi="黑体" w:eastAsia="黑体"/>
          <w:color w:val="auto"/>
          <w:sz w:val="32"/>
        </w:rPr>
        <w:t>其他需说明的问题</w:t>
      </w:r>
    </w:p>
    <w:p>
      <w:pPr>
        <w:keepNext w:val="0"/>
        <w:keepLines w:val="0"/>
        <w:pageBreakBefore w:val="0"/>
        <w:numPr>
          <w:ilvl w:val="0"/>
          <w:numId w:val="0"/>
        </w:numPr>
        <w:tabs>
          <w:tab w:val="left" w:pos="2141"/>
        </w:tabs>
        <w:kinsoku/>
        <w:wordWrap/>
        <w:overflowPunct/>
        <w:topLinePunct w:val="0"/>
        <w:autoSpaceDE/>
        <w:autoSpaceDN/>
        <w:bidi w:val="0"/>
        <w:adjustRightInd/>
        <w:snapToGrid/>
        <w:spacing w:line="560" w:lineRule="exact"/>
        <w:ind w:leftChars="0" w:firstLine="640" w:firstLineChars="200"/>
        <w:textAlignment w:val="auto"/>
        <w:rPr>
          <w:rFonts w:hint="eastAsia" w:ascii="黑体" w:hAnsi="黑体" w:eastAsia="黑体"/>
          <w:color w:val="auto"/>
          <w:sz w:val="32"/>
          <w:lang w:eastAsia="zh-CN"/>
        </w:rPr>
      </w:pPr>
      <w:r>
        <w:rPr>
          <w:rFonts w:hint="eastAsia" w:ascii="黑体" w:hAnsi="黑体" w:eastAsia="黑体"/>
          <w:color w:val="auto"/>
          <w:sz w:val="32"/>
          <w:lang w:eastAsia="zh-CN"/>
        </w:rPr>
        <w:t>无</w:t>
      </w:r>
    </w:p>
    <w:p>
      <w:pPr>
        <w:keepNext w:val="0"/>
        <w:keepLines w:val="0"/>
        <w:pageBreakBefore w:val="0"/>
        <w:tabs>
          <w:tab w:val="left" w:pos="2141"/>
        </w:tabs>
        <w:kinsoku/>
        <w:wordWrap/>
        <w:overflowPunct/>
        <w:topLinePunct w:val="0"/>
        <w:autoSpaceDE/>
        <w:autoSpaceDN/>
        <w:bidi w:val="0"/>
        <w:adjustRightInd/>
        <w:snapToGrid/>
        <w:spacing w:line="560" w:lineRule="exact"/>
        <w:textAlignment w:val="auto"/>
        <w:rPr>
          <w:rFonts w:ascii="黑体" w:hAnsi="黑体" w:eastAsia="黑体"/>
          <w:color w:val="auto"/>
          <w:sz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960" w:firstLineChars="300"/>
        <w:jc w:val="both"/>
        <w:textAlignment w:val="auto"/>
        <w:outlineLvl w:val="9"/>
        <w:rPr>
          <w:rFonts w:hint="eastAsia" w:ascii="仿宋" w:hAnsi="仿宋" w:eastAsia="仿宋" w:cs="仿宋"/>
          <w:color w:val="auto"/>
          <w:kern w:val="0"/>
          <w:sz w:val="32"/>
          <w:szCs w:val="32"/>
          <w:lang w:val="en-US" w:eastAsia="zh-CN" w:bidi="ar"/>
        </w:rPr>
      </w:pPr>
    </w:p>
    <w:p>
      <w:pPr>
        <w:pStyle w:val="2"/>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 xml:space="preserve">                            山丹县文体广电和旅游局</w:t>
      </w:r>
    </w:p>
    <w:p>
      <w:pPr>
        <w:pStyle w:val="2"/>
        <w:rPr>
          <w:rFonts w:hint="default"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 xml:space="preserve">                                2023年12月20日</w:t>
      </w:r>
    </w:p>
    <w:sectPr>
      <w:pgSz w:w="11906" w:h="16838"/>
      <w:pgMar w:top="2098" w:right="1587"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EwZmVlNjc2ZmNhZDU5YTY1ZDJhYzg4MzI4Y2UzMG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B31AD6"/>
    <w:rsid w:val="025832D3"/>
    <w:rsid w:val="09C33728"/>
    <w:rsid w:val="0C3E79DE"/>
    <w:rsid w:val="0E7241C8"/>
    <w:rsid w:val="0ECA2393"/>
    <w:rsid w:val="11766B79"/>
    <w:rsid w:val="152C1DC7"/>
    <w:rsid w:val="20F85160"/>
    <w:rsid w:val="28AF6F9C"/>
    <w:rsid w:val="2CA911B1"/>
    <w:rsid w:val="303A6F5C"/>
    <w:rsid w:val="33BC6F54"/>
    <w:rsid w:val="33DB773D"/>
    <w:rsid w:val="345D0708"/>
    <w:rsid w:val="359A6E24"/>
    <w:rsid w:val="366E1F11"/>
    <w:rsid w:val="386341A5"/>
    <w:rsid w:val="3D850719"/>
    <w:rsid w:val="3E3A0B4B"/>
    <w:rsid w:val="45F55675"/>
    <w:rsid w:val="48C954AE"/>
    <w:rsid w:val="4F724EF4"/>
    <w:rsid w:val="52533CE8"/>
    <w:rsid w:val="52894066"/>
    <w:rsid w:val="52BA5592"/>
    <w:rsid w:val="540D674C"/>
    <w:rsid w:val="56405325"/>
    <w:rsid w:val="583D1EC5"/>
    <w:rsid w:val="587A6C75"/>
    <w:rsid w:val="59B03A0F"/>
    <w:rsid w:val="5FAD0442"/>
    <w:rsid w:val="604F6C39"/>
    <w:rsid w:val="6A641533"/>
    <w:rsid w:val="6A6B0B13"/>
    <w:rsid w:val="73E86D31"/>
    <w:rsid w:val="76612DCA"/>
    <w:rsid w:val="76636B42"/>
    <w:rsid w:val="76E557A9"/>
    <w:rsid w:val="791B3704"/>
    <w:rsid w:val="7A083C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autoSpaceDE w:val="0"/>
      <w:autoSpaceDN w:val="0"/>
      <w:jc w:val="left"/>
    </w:pPr>
    <w:rPr>
      <w:rFonts w:ascii="宋体" w:hAnsi="宋体" w:cs="宋体"/>
      <w:kern w:val="0"/>
      <w:sz w:val="32"/>
      <w:szCs w:val="32"/>
      <w:lang w:eastAsia="en-US"/>
    </w:rPr>
  </w:style>
  <w:style w:type="paragraph" w:styleId="3">
    <w:name w:val="Body Text Indent 2"/>
    <w:basedOn w:val="1"/>
    <w:next w:val="2"/>
    <w:autoRedefine/>
    <w:qFormat/>
    <w:uiPriority w:val="0"/>
    <w:pPr>
      <w:spacing w:line="480" w:lineRule="auto"/>
      <w:ind w:left="420" w:leftChars="200"/>
    </w:p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9">
    <w:name w:val="页眉 Char"/>
    <w:basedOn w:val="8"/>
    <w:link w:val="5"/>
    <w:autoRedefine/>
    <w:qFormat/>
    <w:uiPriority w:val="0"/>
    <w:rPr>
      <w:rFonts w:ascii="Calibri"/>
      <w:kern w:val="2"/>
      <w:sz w:val="18"/>
      <w:szCs w:val="18"/>
    </w:rPr>
  </w:style>
  <w:style w:type="character" w:customStyle="1" w:styleId="10">
    <w:name w:val="页脚 Char"/>
    <w:basedOn w:val="8"/>
    <w:link w:val="4"/>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1661</Words>
  <Characters>1700</Characters>
  <Lines>2</Lines>
  <Paragraphs>1</Paragraphs>
  <TotalTime>0</TotalTime>
  <ScaleCrop>false</ScaleCrop>
  <LinksUpToDate>false</LinksUpToDate>
  <CharactersWithSpaces>1706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李敏</cp:lastModifiedBy>
  <dcterms:modified xsi:type="dcterms:W3CDTF">2024-01-05T10:02:19Z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62C771B2F32149F397E59582BB06A45D</vt:lpwstr>
  </property>
</Properties>
</file>