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3</w:t>
      </w:r>
      <w:r>
        <w:rPr>
          <w:rFonts w:hint="eastAsia" w:ascii="方正小标宋简体" w:eastAsia="方正小标宋简体"/>
          <w:sz w:val="44"/>
          <w:szCs w:val="44"/>
        </w:rPr>
        <w:t>年公共图书馆</w:t>
      </w:r>
      <w:r>
        <w:rPr>
          <w:rFonts w:hint="eastAsia" w:ascii="方正小标宋简体" w:eastAsia="方正小标宋简体"/>
          <w:sz w:val="44"/>
          <w:szCs w:val="44"/>
          <w:lang w:eastAsia="zh-CN"/>
        </w:rPr>
        <w:t>、</w:t>
      </w:r>
      <w:r>
        <w:rPr>
          <w:rFonts w:hint="eastAsia" w:ascii="方正小标宋简体" w:eastAsia="方正小标宋简体"/>
          <w:sz w:val="44"/>
          <w:szCs w:val="44"/>
        </w:rPr>
        <w:t>美术馆免费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开放补助资金项目支出绩效自评报告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eastAsia="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eastAsia="黑体"/>
          <w:sz w:val="32"/>
          <w:szCs w:val="32"/>
        </w:rPr>
      </w:pPr>
      <w:r>
        <w:rPr>
          <w:rFonts w:hint="eastAsia" w:eastAsia="黑体"/>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pStyle w:val="10"/>
        <w:keepNext w:val="0"/>
        <w:keepLines w:val="0"/>
        <w:pageBreakBefore w:val="0"/>
        <w:widowControl w:val="0"/>
        <w:kinsoku/>
        <w:wordWrap/>
        <w:overflowPunct/>
        <w:topLinePunct w:val="0"/>
        <w:bidi w:val="0"/>
        <w:snapToGrid/>
        <w:spacing w:line="560" w:lineRule="exact"/>
        <w:ind w:leftChars="0" w:firstLine="640" w:firstLineChars="200"/>
        <w:textAlignment w:val="auto"/>
        <w:rPr>
          <w:rFonts w:ascii="仿宋_GB2312" w:eastAsia="仿宋_GB2312"/>
          <w:sz w:val="32"/>
          <w:szCs w:val="32"/>
        </w:rPr>
      </w:pPr>
      <w:r>
        <w:rPr>
          <w:rFonts w:hint="eastAsia" w:ascii="仿宋_GB2312" w:eastAsia="仿宋_GB2312"/>
          <w:sz w:val="32"/>
          <w:szCs w:val="32"/>
        </w:rPr>
        <w:t>文化馆、图书馆、美术馆、乡镇文化服务中心作为政府公益性文化事业部门，是组成我国公共文化服务体系的重要部分之一，是广大人民群众进行文化学习交流、文化艺术活动的主要场所，肩负政府群众文化的工作职能，同时还是丰富我国广大群众文化生活的主导性单位，在丰富群众文化艺术活动、服务公共文化体系上都起到举足轻重的作用。三馆一站免费开放可以有效的对公民进行思想道德建设，进一步的提高为群众提供公共文化服务的水平，实现和保障人民群众基本的文化权益。</w:t>
      </w:r>
      <w:r>
        <w:rPr>
          <w:rFonts w:hint="eastAsia" w:ascii="仿宋_GB2312" w:hAnsi="仿宋_GB2312" w:eastAsia="仿宋_GB2312" w:cs="仿宋_GB2312"/>
          <w:color w:val="auto"/>
          <w:kern w:val="2"/>
          <w:sz w:val="32"/>
          <w:szCs w:val="32"/>
          <w:lang w:val="en-US" w:eastAsia="zh-CN"/>
        </w:rPr>
        <w:t>2023年公共图书馆、美术馆免费开放补助资金54</w:t>
      </w:r>
      <w:r>
        <w:rPr>
          <w:rFonts w:hint="eastAsia" w:ascii="仿宋_GB2312" w:hAnsi="仿宋_GB2312" w:eastAsia="仿宋_GB2312" w:cs="仿宋_GB2312"/>
          <w:color w:val="auto"/>
          <w:kern w:val="2"/>
          <w:sz w:val="32"/>
          <w:szCs w:val="32"/>
        </w:rPr>
        <w:t>万元</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采用定量与定性相结合，综合运用比较法、因素分析等评价方法，对项目的投入管理、项目产出、项目效益、满意度评价进行了全面的评价。</w:t>
      </w:r>
    </w:p>
    <w:p>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ascii="仿宋_GB2312" w:eastAsia="仿宋_GB2312"/>
          <w:sz w:val="32"/>
          <w:szCs w:val="32"/>
        </w:rPr>
      </w:pPr>
      <w:r>
        <w:rPr>
          <w:rFonts w:hint="eastAsia" w:ascii="仿宋_GB2312" w:eastAsia="仿宋_GB2312"/>
          <w:sz w:val="32"/>
          <w:szCs w:val="32"/>
        </w:rPr>
        <w:t>本次项目工作目标是通过提升文化馆、图书馆的公共文化职能，有效对公民进行思想道德建设，进一步的提高为群众提供公共文化服务的水平，实现和保障人民群众基本的文化权益；加快城乡公共文化基础设施建设，进一步增强乡镇文化服务中心公共文化服务能力和管理水平，持续开展202</w:t>
      </w:r>
      <w:r>
        <w:rPr>
          <w:rFonts w:hint="eastAsia" w:ascii="仿宋_GB2312" w:eastAsia="仿宋_GB2312"/>
          <w:sz w:val="32"/>
          <w:szCs w:val="32"/>
          <w:lang w:val="en-US" w:eastAsia="zh-CN"/>
        </w:rPr>
        <w:t>3</w:t>
      </w:r>
      <w:r>
        <w:rPr>
          <w:rFonts w:hint="eastAsia" w:ascii="仿宋_GB2312" w:eastAsia="仿宋_GB2312"/>
          <w:sz w:val="32"/>
          <w:szCs w:val="32"/>
        </w:rPr>
        <w:t>年度系列文化活动及各类免费培训等活动。</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（一）项目建设内容完成情况</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eastAsia="仿宋_GB2312"/>
          <w:sz w:val="32"/>
          <w:szCs w:val="32"/>
        </w:rPr>
      </w:pPr>
      <w:r>
        <w:rPr>
          <w:rFonts w:hint="eastAsia" w:ascii="仿宋_GB2312" w:eastAsia="仿宋_GB2312"/>
          <w:sz w:val="32"/>
          <w:szCs w:val="32"/>
        </w:rPr>
        <w:t>项目目标基本在年初制定的时间表内及时完成。</w:t>
      </w:r>
      <w:r>
        <w:rPr>
          <w:rFonts w:hint="eastAsia" w:ascii="仿宋_GB2312" w:hAnsi="仿宋_GB2312" w:eastAsia="仿宋_GB2312" w:cs="仿宋_GB2312"/>
          <w:color w:val="auto"/>
          <w:kern w:val="2"/>
          <w:sz w:val="32"/>
          <w:szCs w:val="32"/>
          <w:lang w:val="en-US" w:eastAsia="zh-CN"/>
        </w:rPr>
        <w:t>2023年公共图书馆、美术馆免费开放补助资金54</w:t>
      </w:r>
      <w:r>
        <w:rPr>
          <w:rFonts w:hint="eastAsia" w:ascii="仿宋_GB2312" w:hAnsi="仿宋_GB2312" w:eastAsia="仿宋_GB2312" w:cs="仿宋_GB2312"/>
          <w:color w:val="auto"/>
          <w:kern w:val="2"/>
          <w:sz w:val="32"/>
          <w:szCs w:val="32"/>
        </w:rPr>
        <w:t>万元</w:t>
      </w:r>
      <w:r>
        <w:rPr>
          <w:rFonts w:hint="eastAsia" w:ascii="仿宋_GB2312" w:hAnsi="仿宋_GB2312" w:eastAsia="仿宋_GB2312" w:cs="仿宋_GB2312"/>
          <w:color w:val="auto"/>
          <w:kern w:val="2"/>
          <w:sz w:val="32"/>
          <w:szCs w:val="32"/>
          <w:lang w:eastAsia="zh-CN"/>
        </w:rPr>
        <w:t>，</w:t>
      </w:r>
      <w:r>
        <w:rPr>
          <w:rFonts w:hint="eastAsia" w:ascii="仿宋" w:hAnsi="仿宋" w:eastAsia="仿宋" w:cs="仿宋"/>
          <w:color w:val="000000"/>
          <w:kern w:val="0"/>
          <w:sz w:val="32"/>
          <w:szCs w:val="32"/>
          <w:lang w:val="en-US" w:eastAsia="zh-CN" w:bidi="ar"/>
        </w:rPr>
        <w:t>资金到位</w:t>
      </w:r>
      <w:r>
        <w:rPr>
          <w:rFonts w:hint="eastAsia" w:ascii="仿宋" w:hAnsi="仿宋" w:eastAsia="仿宋" w:cs="仿宋"/>
          <w:color w:val="000000"/>
          <w:w w:val="95"/>
          <w:kern w:val="0"/>
          <w:sz w:val="32"/>
          <w:szCs w:val="32"/>
          <w:lang w:val="en-US" w:eastAsia="zh-CN" w:bidi="ar"/>
        </w:rPr>
        <w:t>率100%，</w:t>
      </w:r>
      <w:r>
        <w:rPr>
          <w:rFonts w:hint="eastAsia" w:ascii="仿宋_GB2312" w:eastAsia="仿宋_GB2312"/>
          <w:w w:val="95"/>
          <w:sz w:val="32"/>
          <w:szCs w:val="32"/>
        </w:rPr>
        <w:t>保证了项目在202</w:t>
      </w:r>
      <w:r>
        <w:rPr>
          <w:rFonts w:hint="eastAsia" w:ascii="仿宋_GB2312" w:eastAsia="仿宋_GB2312"/>
          <w:w w:val="95"/>
          <w:sz w:val="32"/>
          <w:szCs w:val="32"/>
          <w:lang w:val="en-US" w:eastAsia="zh-CN"/>
        </w:rPr>
        <w:t>3</w:t>
      </w:r>
      <w:r>
        <w:rPr>
          <w:rFonts w:hint="eastAsia" w:ascii="仿宋_GB2312" w:eastAsia="仿宋_GB2312"/>
          <w:w w:val="95"/>
          <w:sz w:val="32"/>
          <w:szCs w:val="32"/>
        </w:rPr>
        <w:t>年的顺利实施和绩效目标的达成。</w:t>
      </w:r>
    </w:p>
    <w:p>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（二）项目资金支出情况</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eastAsia="仿宋_GB2312"/>
          <w:sz w:val="32"/>
          <w:szCs w:val="32"/>
        </w:rPr>
      </w:pPr>
      <w:r>
        <w:rPr>
          <w:rFonts w:hint="eastAsia" w:ascii="仿宋_GB2312" w:eastAsia="仿宋_GB2312"/>
          <w:sz w:val="32"/>
          <w:szCs w:val="32"/>
        </w:rPr>
        <w:t>预算总额</w:t>
      </w:r>
      <w:r>
        <w:rPr>
          <w:rFonts w:hint="eastAsia" w:ascii="仿宋_GB2312" w:eastAsia="仿宋_GB2312"/>
          <w:sz w:val="32"/>
          <w:szCs w:val="32"/>
          <w:lang w:val="en-US" w:eastAsia="zh-CN"/>
        </w:rPr>
        <w:t>54</w:t>
      </w:r>
      <w:r>
        <w:rPr>
          <w:rFonts w:hint="eastAsia" w:ascii="仿宋_GB2312" w:eastAsia="仿宋_GB2312"/>
          <w:sz w:val="32"/>
          <w:szCs w:val="32"/>
        </w:rPr>
        <w:t>万元，实际执行预算</w:t>
      </w:r>
      <w:r>
        <w:rPr>
          <w:rFonts w:hint="eastAsia" w:ascii="仿宋_GB2312" w:eastAsia="仿宋_GB2312"/>
          <w:sz w:val="32"/>
          <w:szCs w:val="32"/>
          <w:lang w:val="en-US" w:eastAsia="zh-CN"/>
        </w:rPr>
        <w:t>36.12</w:t>
      </w:r>
      <w:r>
        <w:rPr>
          <w:rFonts w:hint="eastAsia" w:ascii="仿宋_GB2312" w:eastAsia="仿宋_GB2312"/>
          <w:sz w:val="32"/>
          <w:szCs w:val="32"/>
        </w:rPr>
        <w:t>万元，预算执行率</w:t>
      </w:r>
      <w:r>
        <w:rPr>
          <w:rFonts w:hint="eastAsia" w:ascii="仿宋_GB2312" w:eastAsia="仿宋_GB2312"/>
          <w:sz w:val="32"/>
          <w:szCs w:val="32"/>
          <w:lang w:val="en-US" w:eastAsia="zh-CN"/>
        </w:rPr>
        <w:t>67</w:t>
      </w:r>
      <w:r>
        <w:rPr>
          <w:rFonts w:hint="eastAsia" w:ascii="仿宋_GB2312" w:eastAsia="仿宋_GB2312"/>
          <w:sz w:val="32"/>
          <w:szCs w:val="32"/>
        </w:rPr>
        <w:t>%。主要支出用于文化馆、图书馆、美术馆举办各项民俗文化、文化公益活动及文化作品展览，各乡镇文化服务中心开展各类乡村文艺互动等。所有资金使用严格按照有关财务制度执行，并经严格审核使用。</w:t>
      </w:r>
    </w:p>
    <w:p>
      <w:pPr>
        <w:keepNext w:val="0"/>
        <w:keepLines w:val="0"/>
        <w:pageBreakBefore w:val="0"/>
        <w:widowControl w:val="0"/>
        <w:kinsoku/>
        <w:wordWrap/>
        <w:overflowPunct/>
        <w:topLinePunct w:val="0"/>
        <w:autoSpaceDE/>
        <w:autoSpaceDN/>
        <w:bidi w:val="0"/>
        <w:adjustRightInd/>
        <w:snapToGrid/>
        <w:spacing w:line="560" w:lineRule="exact"/>
        <w:ind w:leftChars="0"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（三）项目资金管理情况</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eastAsia="仿宋_GB2312"/>
          <w:w w:val="95"/>
          <w:sz w:val="32"/>
          <w:szCs w:val="32"/>
        </w:rPr>
      </w:pPr>
      <w:r>
        <w:rPr>
          <w:rFonts w:hint="eastAsia" w:ascii="仿宋_GB2312" w:eastAsia="仿宋_GB2312"/>
          <w:sz w:val="32"/>
          <w:szCs w:val="32"/>
        </w:rPr>
        <w:t>文化馆、图书馆财务管理实行统一领导、集中管理的管理体制，免费开放专项资金严格按程序进行管理，同时健全财务管理制度，资金做到专款专用，无挪用和截留现象。报销支付资金时，</w:t>
      </w:r>
      <w:r>
        <w:rPr>
          <w:rFonts w:hint="eastAsia" w:ascii="仿宋_GB2312" w:eastAsia="仿宋_GB2312"/>
          <w:w w:val="95"/>
          <w:sz w:val="32"/>
          <w:szCs w:val="32"/>
        </w:rPr>
        <w:t>财务人员按照财务管理有关规定严格审核把关。</w:t>
      </w:r>
    </w:p>
    <w:p>
      <w:pPr>
        <w:keepNext w:val="0"/>
        <w:keepLines w:val="0"/>
        <w:pageBreakBefore w:val="0"/>
        <w:widowControl w:val="0"/>
        <w:kinsoku/>
        <w:wordWrap/>
        <w:overflowPunct/>
        <w:topLinePunct w:val="0"/>
        <w:bidi w:val="0"/>
        <w:snapToGrid/>
        <w:spacing w:line="560" w:lineRule="exact"/>
        <w:ind w:leftChars="0"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楷体_GB2312" w:hAnsi="方正楷体_GB2312" w:eastAsia="方正楷体_GB2312" w:cs="方正楷体_GB2312"/>
          <w:b w:val="0"/>
          <w:bCs w:val="0"/>
          <w:sz w:val="32"/>
          <w:szCs w:val="32"/>
          <w:lang w:val="en-US" w:eastAsia="zh-CN"/>
        </w:rPr>
      </w:pPr>
      <w:r>
        <w:rPr>
          <w:rFonts w:hint="eastAsia" w:ascii="方正楷体_GB2312" w:hAnsi="方正楷体_GB2312" w:eastAsia="方正楷体_GB2312" w:cs="方正楷体_GB2312"/>
          <w:b w:val="0"/>
          <w:bCs w:val="0"/>
          <w:sz w:val="32"/>
          <w:szCs w:val="32"/>
          <w:lang w:val="en-US" w:eastAsia="zh-CN"/>
        </w:rPr>
        <w:t xml:space="preserve">（一）项目绩效目标完成情况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3" w:firstLineChars="200"/>
        <w:jc w:val="both"/>
        <w:textAlignment w:val="auto"/>
        <w:outlineLvl w:val="9"/>
        <w:rPr>
          <w:rFonts w:hint="eastAsia" w:ascii="仿宋_GB2312" w:eastAsia="仿宋_GB2312"/>
          <w:sz w:val="32"/>
          <w:szCs w:val="32"/>
        </w:rPr>
      </w:pPr>
      <w:r>
        <w:rPr>
          <w:rFonts w:hint="eastAsia" w:ascii="仿宋_GB2312" w:hAnsi="仿宋_GB2312" w:eastAsia="仿宋_GB2312" w:cs="仿宋_GB2312"/>
          <w:b/>
          <w:bCs/>
          <w:sz w:val="32"/>
          <w:szCs w:val="32"/>
          <w:lang w:val="en-US" w:eastAsia="zh-CN"/>
        </w:rPr>
        <w:t>（1）数量指标：</w:t>
      </w:r>
      <w:r>
        <w:rPr>
          <w:rFonts w:hint="eastAsia" w:ascii="仿宋" w:hAnsi="仿宋" w:eastAsia="仿宋" w:cs="仿宋"/>
          <w:color w:val="000000"/>
          <w:kern w:val="0"/>
          <w:sz w:val="32"/>
          <w:szCs w:val="32"/>
          <w:lang w:val="en-US" w:eastAsia="zh-CN" w:bidi="ar"/>
        </w:rPr>
        <w:t>专项资金的下达对我局发展发挥积极作用，全部用于</w:t>
      </w:r>
      <w:r>
        <w:rPr>
          <w:rFonts w:hint="eastAsia" w:ascii="仿宋_GB2312" w:eastAsia="仿宋_GB2312"/>
          <w:sz w:val="32"/>
          <w:szCs w:val="32"/>
        </w:rPr>
        <w:t>文化馆、图书馆、美术馆举办各项民俗文化、文化公益活动及文化作品展览，各乡镇文化服务中心开展各类乡村文艺互动等。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3"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_GB2312" w:hAnsi="仿宋_GB2312" w:eastAsia="仿宋_GB2312" w:cs="仿宋_GB2312"/>
          <w:b/>
          <w:bCs/>
          <w:sz w:val="32"/>
          <w:szCs w:val="32"/>
          <w:lang w:val="en-US" w:eastAsia="zh-CN"/>
        </w:rPr>
        <w:t>（2）质量指标：</w:t>
      </w:r>
      <w:r>
        <w:rPr>
          <w:rFonts w:hint="eastAsia" w:ascii="仿宋_GB2312" w:hAnsi="仿宋_GB2312" w:eastAsia="仿宋_GB2312" w:cs="仿宋_GB2312"/>
          <w:sz w:val="32"/>
          <w:szCs w:val="32"/>
          <w:lang w:val="en-US" w:eastAsia="zh-CN"/>
        </w:rPr>
        <w:t>演出质量达标率、开展培训率都达100％。</w:t>
      </w:r>
      <w:r>
        <w:rPr>
          <w:rFonts w:hint="eastAsia" w:ascii="仿宋" w:hAnsi="仿宋" w:eastAsia="仿宋" w:cs="仿宋"/>
          <w:color w:val="000000"/>
          <w:kern w:val="0"/>
          <w:sz w:val="32"/>
          <w:szCs w:val="32"/>
          <w:lang w:val="en-US" w:eastAsia="zh-CN" w:bidi="ar"/>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3" w:firstLineChars="20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（3）效益指标：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一是积极开展各类群众文化活动、培训、展览活动，丰富群众文化生活’；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二是继续提升工作人员业务水平，创作出更多彰显本土特色的文化作品；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三是通过实行免费开放政策，加快我县公共文化事业发展，让更多的群众感受到物质文化满足的同时精神文明也在不断提升。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（4）满意度指标</w:t>
      </w:r>
      <w:r>
        <w:rPr>
          <w:rFonts w:hint="eastAsia" w:ascii="仿宋_GB2312" w:hAnsi="仿宋_GB2312" w:eastAsia="仿宋_GB2312" w:cs="仿宋_GB2312"/>
          <w:sz w:val="32"/>
          <w:szCs w:val="32"/>
          <w:lang w:val="en-US" w:eastAsia="zh-CN"/>
        </w:rPr>
        <w:t>：我县游客对当地的旅游消费满意度达到95％。</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方正楷体_GB2312" w:hAnsi="方正楷体_GB2312" w:eastAsia="方正楷体_GB2312" w:cs="方正楷体_GB2312"/>
          <w:b w:val="0"/>
          <w:bCs w:val="0"/>
          <w:sz w:val="32"/>
          <w:szCs w:val="32"/>
          <w:lang w:val="en-US" w:eastAsia="zh-CN"/>
        </w:rPr>
      </w:pPr>
      <w:r>
        <w:rPr>
          <w:rFonts w:hint="eastAsia" w:ascii="方正楷体_GB2312" w:hAnsi="方正楷体_GB2312" w:eastAsia="方正楷体_GB2312" w:cs="方正楷体_GB2312"/>
          <w:b w:val="0"/>
          <w:bCs w:val="0"/>
          <w:sz w:val="32"/>
          <w:szCs w:val="32"/>
          <w:lang w:val="en-US" w:eastAsia="zh-CN"/>
        </w:rPr>
        <w:t xml:space="preserve">（二）产生的效益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jc w:val="both"/>
        <w:textAlignment w:val="auto"/>
        <w:outlineLvl w:val="9"/>
        <w:rPr>
          <w:rFonts w:ascii="仿宋_GB2312" w:eastAsia="仿宋_GB2312"/>
          <w:sz w:val="32"/>
          <w:szCs w:val="32"/>
        </w:rPr>
      </w:pPr>
      <w:r>
        <w:rPr>
          <w:rFonts w:hint="eastAsia" w:ascii="仿宋_GB2312" w:hAnsi="仿宋_GB2312" w:eastAsia="仿宋_GB2312" w:cs="仿宋_GB2312"/>
          <w:sz w:val="32"/>
          <w:szCs w:val="32"/>
          <w:lang w:val="en-US" w:eastAsia="zh-CN"/>
        </w:rPr>
        <w:t>我县旅游业态不断丰富，山丹人民幸福指数不断提高。</w:t>
      </w:r>
    </w:p>
    <w:p>
      <w:pPr>
        <w:keepNext w:val="0"/>
        <w:keepLines w:val="0"/>
        <w:pageBreakBefore w:val="0"/>
        <w:widowControl w:val="0"/>
        <w:numPr>
          <w:ilvl w:val="0"/>
          <w:numId w:val="1"/>
        </w:numPr>
        <w:kinsoku/>
        <w:wordWrap/>
        <w:overflowPunct/>
        <w:topLinePunct w:val="0"/>
        <w:bidi w:val="0"/>
        <w:snapToGrid/>
        <w:spacing w:line="560" w:lineRule="exact"/>
        <w:ind w:leftChars="0" w:firstLine="640" w:firstLineChars="200"/>
        <w:textAlignment w:val="auto"/>
        <w:rPr>
          <w:rFonts w:hint="eastAsia" w:ascii="黑体" w:hAnsi="黑体" w:eastAsia="黑体"/>
          <w:sz w:val="32"/>
          <w:szCs w:val="32"/>
        </w:rPr>
      </w:pPr>
      <w:r>
        <w:rPr>
          <w:rFonts w:hint="eastAsia" w:ascii="黑体" w:hAnsi="黑体" w:eastAsia="黑体"/>
          <w:sz w:val="32"/>
          <w:szCs w:val="32"/>
        </w:rPr>
        <w:t>自评结论</w:t>
      </w:r>
    </w:p>
    <w:p>
      <w:pPr>
        <w:pStyle w:val="3"/>
        <w:keepNext w:val="0"/>
        <w:keepLines w:val="0"/>
        <w:pageBreakBefore w:val="0"/>
        <w:widowControl w:val="0"/>
        <w:numPr>
          <w:ilvl w:val="0"/>
          <w:numId w:val="0"/>
        </w:numPr>
        <w:kinsoku/>
        <w:wordWrap/>
        <w:overflowPunct/>
        <w:topLinePunct w:val="0"/>
        <w:bidi w:val="0"/>
        <w:snapToGrid/>
        <w:spacing w:line="560" w:lineRule="exact"/>
        <w:ind w:leftChars="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美术馆公共图书馆文化馆免费开放补助资金项目始终以文艺演出和公益培训为中心。全年开展各类节点文艺演出活动、免费开放各馆天数目标均已完成。该项目产出指标47分，效益指标30分，满意度指标8分，预算资金执行率6分，自评得分总分为91分。</w:t>
      </w:r>
    </w:p>
    <w:p>
      <w:pPr>
        <w:keepNext w:val="0"/>
        <w:keepLines w:val="0"/>
        <w:pageBreakBefore w:val="0"/>
        <w:widowControl w:val="0"/>
        <w:kinsoku/>
        <w:wordWrap/>
        <w:overflowPunct/>
        <w:topLinePunct w:val="0"/>
        <w:bidi w:val="0"/>
        <w:snapToGrid/>
        <w:spacing w:line="560" w:lineRule="exact"/>
        <w:ind w:leftChars="0" w:firstLine="640" w:firstLineChars="200"/>
        <w:textAlignment w:val="auto"/>
        <w:rPr>
          <w:rFonts w:hint="eastAsia"/>
        </w:rPr>
      </w:pPr>
      <w:r>
        <w:rPr>
          <w:rFonts w:hint="eastAsia" w:ascii="黑体" w:hAnsi="黑体" w:eastAsia="黑体"/>
          <w:sz w:val="32"/>
          <w:szCs w:val="32"/>
          <w:lang w:eastAsia="zh-CN"/>
        </w:rPr>
        <w:t>五</w:t>
      </w:r>
      <w:r>
        <w:rPr>
          <w:rFonts w:hint="eastAsia" w:ascii="黑体" w:hAnsi="黑体" w:eastAsia="黑体"/>
          <w:sz w:val="32"/>
          <w:szCs w:val="32"/>
        </w:rPr>
        <w:t>、下一步改进工作的措施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进一步健全和完善财务管理制度及内部控制制度，创新管理手段，用新思路、新方法，改进完善财务管理方法，用制度管项目，用制度管资金，杜绝一切腐败现象。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firstLine="3840" w:firstLineChars="1200"/>
        <w:jc w:val="both"/>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山丹县文体广电和旅游局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firstLine="640" w:firstLineChars="200"/>
        <w:jc w:val="both"/>
        <w:textAlignment w:val="auto"/>
        <w:outlineLvl w:val="9"/>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w:t>
      </w:r>
      <w:bookmarkStart w:id="0" w:name="_GoBack"/>
      <w:bookmarkEnd w:id="0"/>
      <w:r>
        <w:rPr>
          <w:rFonts w:hint="eastAsia" w:ascii="仿宋" w:hAnsi="仿宋" w:eastAsia="仿宋" w:cs="仿宋"/>
          <w:color w:val="000000"/>
          <w:kern w:val="0"/>
          <w:sz w:val="32"/>
          <w:szCs w:val="32"/>
          <w:lang w:val="en-US" w:eastAsia="zh-CN" w:bidi="ar"/>
        </w:rPr>
        <w:t xml:space="preserve"> 2023年12月20日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_GB2312">
    <w:altName w:val="宋体"/>
    <w:panose1 w:val="02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BD5499"/>
    <w:multiLevelType w:val="singleLevel"/>
    <w:tmpl w:val="9FBD549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EwZmVlNjc2ZmNhZDU5YTY1ZDJhYzg4MzI4Y2UzMGIifQ=="/>
  </w:docVars>
  <w:rsids>
    <w:rsidRoot w:val="0ECA2393"/>
    <w:rsid w:val="0001489F"/>
    <w:rsid w:val="000A7557"/>
    <w:rsid w:val="000C090A"/>
    <w:rsid w:val="002114C3"/>
    <w:rsid w:val="00286CA1"/>
    <w:rsid w:val="003C6F23"/>
    <w:rsid w:val="00481F21"/>
    <w:rsid w:val="00530E72"/>
    <w:rsid w:val="007B2162"/>
    <w:rsid w:val="00810656"/>
    <w:rsid w:val="00854E14"/>
    <w:rsid w:val="008C120E"/>
    <w:rsid w:val="009F449D"/>
    <w:rsid w:val="00A34770"/>
    <w:rsid w:val="00B4239C"/>
    <w:rsid w:val="00EA2F26"/>
    <w:rsid w:val="0ECA2393"/>
    <w:rsid w:val="16F21361"/>
    <w:rsid w:val="23F5677C"/>
    <w:rsid w:val="2A862387"/>
    <w:rsid w:val="2BC2788C"/>
    <w:rsid w:val="2C5A1872"/>
    <w:rsid w:val="2DC25921"/>
    <w:rsid w:val="36AD2A84"/>
    <w:rsid w:val="37A63485"/>
    <w:rsid w:val="39AD39A7"/>
    <w:rsid w:val="473016F6"/>
    <w:rsid w:val="4C322A5B"/>
    <w:rsid w:val="5A9102A6"/>
    <w:rsid w:val="5E543AC4"/>
    <w:rsid w:val="61CF097D"/>
    <w:rsid w:val="6727621A"/>
    <w:rsid w:val="67CD5013"/>
    <w:rsid w:val="6EF2710D"/>
    <w:rsid w:val="710B00FA"/>
    <w:rsid w:val="71F70889"/>
    <w:rsid w:val="75D465B4"/>
    <w:rsid w:val="775E4521"/>
    <w:rsid w:val="79D97BDD"/>
    <w:rsid w:val="79EB45D1"/>
    <w:rsid w:val="7BCA2E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index 6"/>
    <w:basedOn w:val="1"/>
    <w:next w:val="1"/>
    <w:autoRedefine/>
    <w:qFormat/>
    <w:uiPriority w:val="0"/>
  </w:style>
  <w:style w:type="paragraph" w:styleId="3">
    <w:name w:val="Body Text"/>
    <w:basedOn w:val="1"/>
    <w:autoRedefine/>
    <w:qFormat/>
    <w:uiPriority w:val="0"/>
    <w:pPr>
      <w:autoSpaceDE w:val="0"/>
      <w:autoSpaceDN w:val="0"/>
      <w:jc w:val="left"/>
    </w:pPr>
    <w:rPr>
      <w:rFonts w:ascii="宋体" w:hAnsi="宋体" w:cs="宋体"/>
      <w:kern w:val="0"/>
      <w:sz w:val="32"/>
      <w:szCs w:val="32"/>
      <w:lang w:eastAsia="en-US"/>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0"/>
    <w:rPr>
      <w:rFonts w:ascii="Calibri"/>
      <w:kern w:val="2"/>
      <w:sz w:val="18"/>
      <w:szCs w:val="18"/>
    </w:rPr>
  </w:style>
  <w:style w:type="character" w:customStyle="1" w:styleId="9">
    <w:name w:val="页脚 Char"/>
    <w:basedOn w:val="7"/>
    <w:link w:val="4"/>
    <w:autoRedefine/>
    <w:qFormat/>
    <w:uiPriority w:val="0"/>
    <w:rPr>
      <w:rFonts w:ascii="Calibri"/>
      <w:kern w:val="2"/>
      <w:sz w:val="18"/>
      <w:szCs w:val="18"/>
    </w:rPr>
  </w:style>
  <w:style w:type="paragraph" w:customStyle="1" w:styleId="10">
    <w:name w:val="Default"/>
    <w:qFormat/>
    <w:uiPriority w:val="0"/>
    <w:pPr>
      <w:widowControl w:val="0"/>
      <w:autoSpaceDE w:val="0"/>
      <w:autoSpaceDN w:val="0"/>
      <w:adjustRightInd w:val="0"/>
    </w:pPr>
    <w:rPr>
      <w:rFonts w:ascii="宋体" w:hAnsi="宋体" w:cs="宋体"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1870</Words>
  <Characters>1912</Characters>
  <Lines>2</Lines>
  <Paragraphs>1</Paragraphs>
  <TotalTime>3</TotalTime>
  <ScaleCrop>false</ScaleCrop>
  <LinksUpToDate>false</LinksUpToDate>
  <CharactersWithSpaces>1913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李敏</cp:lastModifiedBy>
  <dcterms:modified xsi:type="dcterms:W3CDTF">2024-01-02T11:14:59Z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FD493B2C83AA462699A4DC6AC8A1BF48</vt:lpwstr>
  </property>
</Properties>
</file>