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Arial Unicode MS" w:hAnsi="Arial Unicode MS" w:eastAsia="Arial Unicode MS" w:cs="Arial Unicode MS"/>
          <w:sz w:val="44"/>
          <w:szCs w:val="44"/>
          <w:lang w:eastAsia="zh-CN"/>
        </w:rPr>
      </w:pPr>
      <w:bookmarkStart w:id="0" w:name="_Toc3753354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Arial Unicode MS" w:hAnsi="Arial Unicode MS" w:eastAsia="Arial Unicode MS" w:cs="Arial Unicode MS"/>
          <w:sz w:val="44"/>
          <w:szCs w:val="44"/>
        </w:rPr>
      </w:pPr>
      <w:r>
        <w:rPr>
          <w:rFonts w:hint="eastAsia" w:ascii="Arial Unicode MS" w:hAnsi="Arial Unicode MS" w:eastAsia="Arial Unicode MS" w:cs="Arial Unicode MS"/>
          <w:sz w:val="44"/>
          <w:szCs w:val="44"/>
          <w:lang w:eastAsia="zh-CN"/>
        </w:rPr>
        <w:t>山丹县</w:t>
      </w:r>
      <w:r>
        <w:rPr>
          <w:rFonts w:hint="eastAsia" w:ascii="Arial Unicode MS" w:hAnsi="Arial Unicode MS" w:eastAsia="Arial Unicode MS" w:cs="Arial Unicode MS"/>
          <w:sz w:val="44"/>
          <w:szCs w:val="44"/>
        </w:rPr>
        <w:t>20</w:t>
      </w:r>
      <w:r>
        <w:rPr>
          <w:rFonts w:hint="eastAsia" w:ascii="Arial Unicode MS" w:hAnsi="Arial Unicode MS" w:eastAsia="Arial Unicode MS" w:cs="Arial Unicode MS"/>
          <w:sz w:val="44"/>
          <w:szCs w:val="44"/>
          <w:lang w:val="en-US" w:eastAsia="zh-CN"/>
        </w:rPr>
        <w:t>23</w:t>
      </w:r>
      <w:r>
        <w:rPr>
          <w:rFonts w:hint="eastAsia" w:ascii="Arial Unicode MS" w:hAnsi="Arial Unicode MS" w:eastAsia="Arial Unicode MS" w:cs="Arial Unicode MS"/>
          <w:sz w:val="44"/>
          <w:szCs w:val="44"/>
        </w:rPr>
        <w:t>年度</w:t>
      </w:r>
      <w:r>
        <w:rPr>
          <w:rFonts w:hint="eastAsia" w:ascii="Arial Unicode MS" w:hAnsi="Arial Unicode MS" w:eastAsia="Arial Unicode MS" w:cs="Arial Unicode MS"/>
          <w:sz w:val="44"/>
          <w:szCs w:val="44"/>
          <w:lang w:eastAsia="zh-CN"/>
        </w:rPr>
        <w:t>第一批旅游发展专项</w:t>
      </w:r>
      <w:r>
        <w:rPr>
          <w:rFonts w:hint="eastAsia" w:ascii="Arial Unicode MS" w:hAnsi="Arial Unicode MS" w:eastAsia="Arial Unicode MS" w:cs="Arial Unicode MS"/>
          <w:sz w:val="44"/>
          <w:szCs w:val="44"/>
        </w:rPr>
        <w:t>资金</w:t>
      </w:r>
      <w:r>
        <w:rPr>
          <w:rFonts w:hint="eastAsia" w:ascii="Arial Unicode MS" w:hAnsi="Arial Unicode MS" w:eastAsia="Arial Unicode MS" w:cs="Arial Unicode MS"/>
          <w:sz w:val="44"/>
          <w:szCs w:val="44"/>
          <w:lang w:eastAsia="zh-CN"/>
        </w:rPr>
        <w:t>项目</w:t>
      </w:r>
      <w:r>
        <w:rPr>
          <w:rFonts w:hint="eastAsia" w:ascii="Arial Unicode MS" w:hAnsi="Arial Unicode MS" w:eastAsia="Arial Unicode MS" w:cs="Arial Unicode MS"/>
          <w:sz w:val="44"/>
          <w:szCs w:val="44"/>
        </w:rPr>
        <w:t>绩效自评报告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Arial Unicode MS" w:hAnsi="Arial Unicode MS" w:eastAsia="Arial Unicode MS" w:cs="Arial Unicode MS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" w:leftChars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项目基本情况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（一）项目概况 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年山丹县旅游发展项目内容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山丹县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大马营镇中河村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文旅振兴乡村样板村建设项目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乡村旅游合作社业态培育和产品开发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>（1）数量指标：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2023年第一批旅游发展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专项资金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的下达对我县旅游产业发展发挥积极作用，提升了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文旅振兴乡村样板村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、景区、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农家乐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基础设施和品质。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 xml:space="preserve">    （2）质量指标：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各相关旅游景点参观人数，乡村旅游接待人次增长率达到20%和18%，均达到年度指标值，设备设施使用率，新建、维护场地正常运转率以及项目完成率都达100%。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>（3）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>效益指标：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我县相关旅游景区（点）和乡村旅游收入增长率都达20%以上，旅游服务水平、旅游休闲观光产业知名度、旅游资源保护水平、环境改善水平以及旅游影响力都在逐年提升。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-SA"/>
        </w:rPr>
        <w:t>（4）满意度指标：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我县游客对当地的旅游服务满意度达到95%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以上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，超过年度指标值90%。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二、项目资金情况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7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年山丹县旅游发展项目内容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为：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山丹县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大马营镇中河村省级文旅振兴乡村样板村建设项目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乡村旅游合作社业态培育和产品开发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项目。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7" w:lineRule="exact"/>
        <w:ind w:leftChars="0" w:firstLine="640" w:firstLineChars="200"/>
        <w:jc w:val="both"/>
        <w:textAlignment w:val="auto"/>
        <w:rPr>
          <w:rFonts w:hint="default" w:hAnsi="仿宋_GB2312" w:cs="仿宋_GB2312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山丹县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大马营镇中河村省级文旅振兴乡村样板村建设项目资金40万元</w:t>
      </w:r>
      <w:r>
        <w:rPr>
          <w:rFonts w:hint="eastAsia" w:hAnsi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项目建设为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eastAsia="zh-CN" w:bidi="ar-SA"/>
        </w:rPr>
        <w:t>中河村铺设</w:t>
      </w:r>
      <w:r>
        <w:rPr>
          <w:rFonts w:hint="default" w:hAnsi="仿宋_GB2312" w:cs="仿宋_GB2312"/>
          <w:color w:val="auto"/>
          <w:kern w:val="2"/>
          <w:sz w:val="32"/>
          <w:szCs w:val="32"/>
          <w:lang w:eastAsia="zh-CN" w:bidi="ar-SA"/>
        </w:rPr>
        <w:t>透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水</w:t>
      </w:r>
      <w:r>
        <w:rPr>
          <w:rFonts w:hint="default" w:hAnsi="仿宋_GB2312" w:cs="仿宋_GB2312"/>
          <w:color w:val="auto"/>
          <w:kern w:val="2"/>
          <w:sz w:val="32"/>
          <w:szCs w:val="32"/>
          <w:lang w:eastAsia="zh-CN" w:bidi="ar-SA"/>
        </w:rPr>
        <w:t>砖420㎡，八字花砖2560㎡，水泥压花路面310㎡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eastAsia="zh-CN" w:bidi="ar-SA"/>
        </w:rPr>
        <w:t xml:space="preserve"> </w:t>
      </w:r>
      <w:r>
        <w:rPr>
          <w:rFonts w:hint="eastAsia" w:hAnsi="仿宋_GB2312" w:cs="仿宋_GB2312"/>
          <w:color w:val="auto"/>
          <w:kern w:val="2"/>
          <w:sz w:val="32"/>
          <w:szCs w:val="32"/>
          <w:lang w:eastAsia="zh-CN" w:bidi="ar-SA"/>
        </w:rPr>
        <w:t>，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防腐木栈道307.2</w:t>
      </w:r>
      <w:r>
        <w:rPr>
          <w:rFonts w:hint="default" w:hAnsi="仿宋_GB2312" w:cs="仿宋_GB2312"/>
          <w:color w:val="auto"/>
          <w:kern w:val="2"/>
          <w:sz w:val="32"/>
          <w:szCs w:val="32"/>
          <w:lang w:eastAsia="zh-CN" w:bidi="ar-SA"/>
        </w:rPr>
        <w:t>㎡</w:t>
      </w:r>
      <w:r>
        <w:rPr>
          <w:rFonts w:hint="eastAsia" w:hAnsi="仿宋_GB2312" w:cs="仿宋_GB2312"/>
          <w:color w:val="auto"/>
          <w:kern w:val="2"/>
          <w:sz w:val="32"/>
          <w:szCs w:val="32"/>
          <w:lang w:eastAsia="zh-CN" w:bidi="ar-SA"/>
        </w:rPr>
        <w:t>，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场地平整7000</w:t>
      </w:r>
      <w:r>
        <w:rPr>
          <w:rFonts w:hint="default" w:hAnsi="仿宋_GB2312" w:cs="仿宋_GB2312"/>
          <w:color w:val="auto"/>
          <w:kern w:val="2"/>
          <w:sz w:val="32"/>
          <w:szCs w:val="32"/>
          <w:lang w:eastAsia="zh-CN" w:bidi="ar-SA"/>
        </w:rPr>
        <w:t>㎡</w:t>
      </w:r>
      <w:r>
        <w:rPr>
          <w:rFonts w:hint="eastAsia" w:hAnsi="仿宋_GB2312" w:cs="仿宋_GB2312"/>
          <w:color w:val="auto"/>
          <w:kern w:val="2"/>
          <w:sz w:val="32"/>
          <w:szCs w:val="32"/>
          <w:lang w:eastAsia="zh-CN" w:bidi="ar-SA"/>
        </w:rPr>
        <w:t>，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铺设豆石路面3000</w:t>
      </w:r>
      <w:r>
        <w:rPr>
          <w:rFonts w:hint="default" w:hAnsi="仿宋_GB2312" w:cs="仿宋_GB2312"/>
          <w:color w:val="auto"/>
          <w:kern w:val="2"/>
          <w:sz w:val="32"/>
          <w:szCs w:val="32"/>
          <w:lang w:eastAsia="zh-CN" w:bidi="ar-SA"/>
        </w:rPr>
        <w:t>㎡</w:t>
      </w:r>
      <w:r>
        <w:rPr>
          <w:rFonts w:hint="eastAsia" w:hAnsi="仿宋_GB2312" w:cs="仿宋_GB2312"/>
          <w:color w:val="auto"/>
          <w:kern w:val="2"/>
          <w:sz w:val="32"/>
          <w:szCs w:val="32"/>
          <w:lang w:eastAsia="zh-CN" w:bidi="ar-SA"/>
        </w:rPr>
        <w:t>，</w:t>
      </w:r>
      <w:r>
        <w:rPr>
          <w:rFonts w:hint="eastAsia" w:hAnsi="仿宋_GB2312" w:cs="仿宋_GB2312"/>
          <w:color w:val="auto"/>
          <w:kern w:val="2"/>
          <w:sz w:val="32"/>
          <w:szCs w:val="32"/>
          <w:lang w:val="en-US" w:eastAsia="zh-CN" w:bidi="ar-SA"/>
        </w:rPr>
        <w:t>露营帐篷10座，星空房4座，维修木质观景台1项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eastAsia="zh-CN" w:bidi="ar-SA"/>
        </w:rPr>
        <w:t>。</w:t>
      </w:r>
      <w:r>
        <w:rPr>
          <w:rFonts w:hint="default" w:hAnsi="仿宋_GB2312" w:cs="仿宋_GB2312"/>
          <w:color w:val="auto"/>
          <w:kern w:val="2"/>
          <w:sz w:val="32"/>
          <w:szCs w:val="32"/>
          <w:lang w:eastAsia="zh-CN" w:bidi="ar-SA"/>
        </w:rPr>
        <w:t>该项目正在施工中。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乡村旅游合作社业态培育和产品开发项目到位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资金共18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万元。项目建设为山丹县玉英旅游专业合作社完成对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雍雅山庄旧围墙拆除、搭建天井院落、墙面粉刷、屋面吊顶，维修采暖、采光、通风设施，新建62平方米标准厨房，配齐厨房设施设备，新建烧烤区、采摘园，美化绿化周边环境，项目到位资金8万元；山丹县博鳌农牧专业合作社完成对四喜农庄厨房改造，新建木质长廊、围炉烧烤棚，完成采摘园和周边风貌改造，项目到位资金5万元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山丹县旺源养殖专业合作社完成对旺源休闲园餐厅装修升级，更换桌椅3套，新建葡萄工棚1座、烧烤凉亭一座，配置儿童秋千、沙坑、蹦蹦床等娱乐设施，到位资金5万元。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旅游合作社基础设施配套建设项目，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进一步优化了乡村旅游业态、规模和服务品质，切实提升文化旅游供给能力。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（二）项目资金支出情况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山丹县2023年第一批旅游发展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专项资金拨付到位58万元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，截止2023年12月31日止，该专项资金已使用18万元，剩余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大马营镇中河村文旅振兴样板村建设项目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40万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元未支付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（三）项目资金管理情况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山丹县2023年第一批旅游发展专项资金建设项目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山丹县大马营镇中河村省级文旅振兴乡村样板村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建设项目、乡村旅游合作社业态培育和产品开发项目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专项资金使用目标明确，资金管理、会计核算、财务审批制度健全。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专项资金严格按程序进行管理，资金做到专款专用，无挪用和截留现象。报销支付资金时，财务人员按照财务管理有关规定严格审核把关。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三、项目绩效目标完成情况及效益分析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一是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在项目实施过程中，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严格执行监理制、招投标制、合同制，提高项目实施的质量和效益；按进度如期拨付项目有关费用，保证资金到位，保证实施进度；定时或不定时对项目的资金使用情况、质量情况、进度情况进行检查，同时接受社会的监督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项目资金实行专户存储、专人管理、专账核算、专款专用，做到入账及时、台账清晰。资金支付程序合理规范，实行国库集中支付制度，资金支付进度符合财务管理要求。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2023年第一批旅游发展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专项资金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给我县旅游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产业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发展提供了机遇，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文旅振兴乡村样板村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的旅游基础设施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有了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较大改善，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旅游服务设施进一步完善，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村容村貌和绿化、亮化工作成效明显，村级乡村农家乐品质得到进一步提升，村集体收入和贫困人口收入进一步增加。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山丹县大马营镇中河村省级文旅振兴乡村样板村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建设项目、乡村旅游合作社业态培育和产品开发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项目基本完成，不断提升乡村旅游知名度和美誉度，打造全域全季全时旅游新业态。该项目绩效得分83分。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五、存在的问题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管理人员及绩效评价工作人员对业务不熟练，影响整体绩效评价的动态性、准确性、客观性。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六、下一步改进工作的措施  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进一步健全和完善财务管理制度及内部控制制度，创新管理手段，用新思路、新方法，改进完善财务管理方法，用制度管项目，用制度管资金，确保项目的质量和进度。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4800" w:firstLineChars="15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山丹县文体广电和旅游局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2023年12月20日</w:t>
      </w:r>
    </w:p>
    <w:sectPr>
      <w:footerReference r:id="rId3" w:type="default"/>
      <w:pgSz w:w="11906" w:h="16838"/>
      <w:pgMar w:top="2098" w:right="1474" w:bottom="1814" w:left="1587" w:header="1134" w:footer="1247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0F1C82-36A0-4EDA-858E-C1427C8F649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F7BCA08-125E-41D9-AC50-EBA5647F91C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C98304F-D385-4875-85C2-48AA1DD8C424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4" w:fontKey="{722DCBB8-44AD-43F3-B509-5BF2E21CE0C7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F51B584-C8C4-474D-9DE8-EB7DC28E33D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131E36E3-ECB0-44CE-B632-DD5C6B8DED9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fmucmMMBAACP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612A6B"/>
    <w:multiLevelType w:val="singleLevel"/>
    <w:tmpl w:val="BE612A6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0"/>
    <w:multiLevelType w:val="multilevel"/>
    <w:tmpl w:val="00000000"/>
    <w:lvl w:ilvl="0" w:tentative="0">
      <w:start w:val="1"/>
      <w:numFmt w:val="none"/>
      <w:suff w:val="space"/>
      <w:lvlText w:val=""/>
      <w:lvlJc w:val="center"/>
      <w:pPr>
        <w:ind w:left="0" w:firstLine="288"/>
      </w:pPr>
      <w:rPr>
        <w:rFonts w:hint="eastAsia"/>
      </w:rPr>
    </w:lvl>
    <w:lvl w:ilvl="1" w:tentative="0">
      <w:start w:val="1"/>
      <w:numFmt w:val="chineseCountingThousand"/>
      <w:suff w:val="space"/>
      <w:lvlText w:val="第%2章"/>
      <w:lvlJc w:val="center"/>
      <w:pPr>
        <w:ind w:left="0" w:firstLine="288"/>
      </w:pPr>
      <w:rPr>
        <w:rFonts w:hint="eastAsia"/>
      </w:rPr>
    </w:lvl>
    <w:lvl w:ilvl="2" w:tentative="0">
      <w:start w:val="1"/>
      <w:numFmt w:val="chineseCountingThousand"/>
      <w:suff w:val="space"/>
      <w:lvlText w:val="第%3节"/>
      <w:lvlJc w:val="center"/>
      <w:pPr>
        <w:ind w:left="0" w:firstLine="288"/>
      </w:pPr>
      <w:rPr>
        <w:rFonts w:hint="eastAsia"/>
      </w:rPr>
    </w:lvl>
    <w:lvl w:ilvl="3" w:tentative="0">
      <w:start w:val="1"/>
      <w:numFmt w:val="chineseCountingThousand"/>
      <w:pStyle w:val="2"/>
      <w:suff w:val="nothing"/>
      <w:lvlText w:val="%4、"/>
      <w:lvlJc w:val="left"/>
      <w:pPr>
        <w:ind w:left="410" w:firstLine="0"/>
      </w:pPr>
      <w:rPr>
        <w:rFonts w:hint="eastAsia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suff w:val="nothing"/>
      <w:lvlText w:val="%5、"/>
      <w:lvlJc w:val="left"/>
      <w:pPr>
        <w:ind w:left="16" w:firstLine="454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54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33D817D7"/>
    <w:multiLevelType w:val="singleLevel"/>
    <w:tmpl w:val="33D817D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9CC834B"/>
    <w:multiLevelType w:val="singleLevel"/>
    <w:tmpl w:val="69CC834B"/>
    <w:lvl w:ilvl="0" w:tentative="0">
      <w:start w:val="1"/>
      <w:numFmt w:val="chineseCounting"/>
      <w:suff w:val="nothing"/>
      <w:lvlText w:val="%1、"/>
      <w:lvlJc w:val="left"/>
      <w:pPr>
        <w:ind w:left="160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mY4ZjhjYWU4M2YwNDMwNWFlNmRmOWJkNzQyYzIifQ=="/>
  </w:docVars>
  <w:rsids>
    <w:rsidRoot w:val="5973251F"/>
    <w:rsid w:val="00A429A9"/>
    <w:rsid w:val="01615209"/>
    <w:rsid w:val="03F60FF6"/>
    <w:rsid w:val="04221DEB"/>
    <w:rsid w:val="0595307C"/>
    <w:rsid w:val="151F39CD"/>
    <w:rsid w:val="1BAC6E4C"/>
    <w:rsid w:val="1CD852E5"/>
    <w:rsid w:val="2A6A2064"/>
    <w:rsid w:val="35580608"/>
    <w:rsid w:val="366174A3"/>
    <w:rsid w:val="3F4563B2"/>
    <w:rsid w:val="44ED3197"/>
    <w:rsid w:val="4FC150D3"/>
    <w:rsid w:val="53672943"/>
    <w:rsid w:val="5973251F"/>
    <w:rsid w:val="5E461937"/>
    <w:rsid w:val="5EA913C5"/>
    <w:rsid w:val="655876AC"/>
    <w:rsid w:val="65E75134"/>
    <w:rsid w:val="66130B39"/>
    <w:rsid w:val="6FAD74D8"/>
    <w:rsid w:val="746F3D05"/>
    <w:rsid w:val="7562415B"/>
    <w:rsid w:val="76017ECD"/>
    <w:rsid w:val="7AC57DCC"/>
    <w:rsid w:val="7C6378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3"/>
        <w:numId w:val="1"/>
      </w:numPr>
      <w:ind w:firstLine="640" w:firstLineChars="200"/>
      <w:outlineLvl w:val="3"/>
    </w:pPr>
    <w:rPr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4">
    <w:name w:val="Body Text Indent 2"/>
    <w:basedOn w:val="1"/>
    <w:next w:val="3"/>
    <w:autoRedefine/>
    <w:qFormat/>
    <w:uiPriority w:val="0"/>
    <w:pPr>
      <w:spacing w:line="480" w:lineRule="auto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1361</Words>
  <Characters>1416</Characters>
  <Lines>0</Lines>
  <Paragraphs>0</Paragraphs>
  <TotalTime>3</TotalTime>
  <ScaleCrop>false</ScaleCrop>
  <LinksUpToDate>false</LinksUpToDate>
  <CharactersWithSpaces>1430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2022-09-21T02:19:00Z</dcterms:created>
  <dc:creator>♚　 妄念</dc:creator>
  <cp:lastModifiedBy>Healer</cp:lastModifiedBy>
  <cp:lastPrinted>2022-09-21T03:18:00Z</cp:lastPrinted>
  <dcterms:modified xsi:type="dcterms:W3CDTF">2024-01-04T09:55:37Z</dcterms:modified>
  <dc:title>山丹县焉支山旅游投资开发有限责任公司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F65D9881E55A485EB6F06796779D20DA</vt:lpwstr>
  </property>
</Properties>
</file>