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pPr>
    </w:p>
    <w:p>
      <w:pPr>
        <w:spacing w:line="540" w:lineRule="exact"/>
        <w:jc w:val="both"/>
        <w:rPr>
          <w:rFonts w:ascii="方正小标宋简体" w:eastAsia="方正小标宋简体"/>
          <w:color w:val="000000" w:themeColor="text1"/>
          <w:sz w:val="44"/>
          <w:szCs w:val="44"/>
        </w:rPr>
      </w:pPr>
      <w:r>
        <w:rPr>
          <w:rFonts w:hint="eastAsia" w:ascii="方正小标宋简体" w:eastAsia="方正小标宋简体"/>
          <w:color w:val="000000" w:themeColor="text1"/>
          <w:sz w:val="44"/>
          <w:szCs w:val="44"/>
        </w:rPr>
        <w:t>山丹县</w:t>
      </w:r>
      <w:r>
        <w:rPr>
          <w:rFonts w:hint="eastAsia" w:ascii="方正小标宋简体" w:eastAsia="方正小标宋简体"/>
          <w:color w:val="000000" w:themeColor="text1"/>
          <w:sz w:val="44"/>
          <w:szCs w:val="44"/>
          <w:lang w:eastAsia="zh-CN"/>
        </w:rPr>
        <w:t>县级公共体育场和田径跑道</w:t>
      </w:r>
      <w:r>
        <w:rPr>
          <w:rFonts w:hint="eastAsia" w:ascii="方正小标宋简体" w:eastAsia="方正小标宋简体"/>
          <w:color w:val="000000" w:themeColor="text1"/>
          <w:sz w:val="44"/>
          <w:szCs w:val="44"/>
        </w:rPr>
        <w:t>建设项目</w:t>
      </w:r>
    </w:p>
    <w:p>
      <w:pPr>
        <w:spacing w:line="540" w:lineRule="exact"/>
        <w:jc w:val="center"/>
        <w:rPr>
          <w:rFonts w:hint="eastAsia" w:ascii="方正小标宋简体" w:eastAsia="方正小标宋简体"/>
          <w:color w:val="000000" w:themeColor="text1"/>
          <w:sz w:val="44"/>
          <w:szCs w:val="44"/>
        </w:rPr>
      </w:pPr>
      <w:r>
        <w:rPr>
          <w:rFonts w:hint="eastAsia" w:ascii="方正小标宋简体" w:eastAsia="方正小标宋简体"/>
          <w:color w:val="000000" w:themeColor="text1"/>
          <w:sz w:val="44"/>
          <w:szCs w:val="44"/>
        </w:rPr>
        <w:t>绩效评价报告</w:t>
      </w:r>
    </w:p>
    <w:p>
      <w:pPr>
        <w:pStyle w:val="3"/>
      </w:pPr>
    </w:p>
    <w:p>
      <w:pPr>
        <w:ind w:firstLine="643" w:firstLineChars="200"/>
        <w:rPr>
          <w:rFonts w:ascii="仿宋" w:hAnsi="仿宋" w:eastAsia="仿宋"/>
          <w:b/>
          <w:sz w:val="32"/>
          <w:szCs w:val="32"/>
        </w:rPr>
      </w:pPr>
      <w:r>
        <w:rPr>
          <w:rFonts w:hint="eastAsia" w:ascii="仿宋" w:hAnsi="仿宋" w:eastAsia="仿宋"/>
          <w:b/>
          <w:sz w:val="32"/>
          <w:szCs w:val="32"/>
        </w:rPr>
        <w:t>一、基本情况</w:t>
      </w:r>
    </w:p>
    <w:p>
      <w:pPr>
        <w:ind w:firstLine="643" w:firstLineChars="200"/>
        <w:outlineLvl w:val="0"/>
        <w:rPr>
          <w:rFonts w:ascii="仿宋" w:hAnsi="仿宋" w:eastAsia="仿宋"/>
          <w:b/>
          <w:bCs/>
          <w:color w:val="313131"/>
          <w:sz w:val="32"/>
          <w:szCs w:val="32"/>
        </w:rPr>
      </w:pPr>
      <w:r>
        <w:rPr>
          <w:rFonts w:hint="eastAsia" w:ascii="仿宋" w:hAnsi="仿宋" w:eastAsia="仿宋"/>
          <w:b/>
          <w:bCs/>
          <w:sz w:val="32"/>
          <w:szCs w:val="32"/>
        </w:rPr>
        <w:t>（一）项目概况。</w:t>
      </w:r>
      <w:r>
        <w:rPr>
          <w:rFonts w:hint="eastAsia" w:ascii="仿宋" w:hAnsi="仿宋" w:eastAsia="仿宋"/>
          <w:b/>
          <w:bCs/>
          <w:color w:val="313131"/>
          <w:sz w:val="32"/>
          <w:szCs w:val="32"/>
        </w:rPr>
        <w:t xml:space="preserve"> </w:t>
      </w:r>
    </w:p>
    <w:p>
      <w:pPr>
        <w:ind w:firstLine="640" w:firstLineChars="200"/>
        <w:outlineLvl w:val="0"/>
        <w:rPr>
          <w:rFonts w:ascii="仿宋" w:hAnsi="仿宋" w:eastAsia="仿宋" w:cs="仿宋_GB2312"/>
          <w:sz w:val="32"/>
          <w:szCs w:val="32"/>
        </w:rPr>
      </w:pPr>
      <w:r>
        <w:rPr>
          <w:rFonts w:hint="eastAsia" w:ascii="仿宋" w:hAnsi="仿宋" w:eastAsia="仿宋" w:cs="仿宋_GB2312"/>
          <w:sz w:val="32"/>
          <w:szCs w:val="32"/>
          <w:lang w:val="en-US" w:eastAsia="zh-CN"/>
        </w:rPr>
        <w:t>2023年山丹县财政局下达县级财政资金</w:t>
      </w:r>
      <w:r>
        <w:rPr>
          <w:rFonts w:hint="eastAsia" w:ascii="仿宋" w:hAnsi="仿宋" w:eastAsia="仿宋" w:cs="仿宋_GB2312"/>
          <w:color w:val="313131"/>
          <w:sz w:val="32"/>
          <w:szCs w:val="32"/>
          <w:lang w:val="en-US" w:eastAsia="zh-CN"/>
        </w:rPr>
        <w:t>39.36</w:t>
      </w:r>
      <w:r>
        <w:rPr>
          <w:rFonts w:hint="eastAsia" w:ascii="仿宋" w:hAnsi="仿宋" w:eastAsia="仿宋" w:cs="仿宋_GB2312"/>
          <w:color w:val="313131"/>
          <w:sz w:val="32"/>
          <w:szCs w:val="32"/>
        </w:rPr>
        <w:t>万元，主要用于山丹县</w:t>
      </w:r>
      <w:r>
        <w:rPr>
          <w:rFonts w:hint="eastAsia" w:ascii="仿宋" w:hAnsi="仿宋" w:eastAsia="仿宋" w:cs="仿宋_GB2312"/>
          <w:color w:val="313131"/>
          <w:sz w:val="32"/>
          <w:szCs w:val="32"/>
          <w:lang w:eastAsia="zh-CN"/>
        </w:rPr>
        <w:t>县级公共体育场和田径跑道</w:t>
      </w:r>
      <w:r>
        <w:rPr>
          <w:rFonts w:hint="eastAsia" w:ascii="仿宋" w:hAnsi="仿宋" w:eastAsia="仿宋" w:cs="仿宋_GB2312"/>
          <w:color w:val="313131"/>
          <w:sz w:val="32"/>
          <w:szCs w:val="32"/>
        </w:rPr>
        <w:t>建设项目。</w:t>
      </w:r>
      <w:r>
        <w:rPr>
          <w:rFonts w:hint="eastAsia" w:ascii="仿宋" w:hAnsi="仿宋" w:eastAsia="仿宋"/>
          <w:sz w:val="32"/>
          <w:szCs w:val="32"/>
        </w:rPr>
        <w:t>项目位于山丹县</w:t>
      </w:r>
      <w:r>
        <w:rPr>
          <w:rFonts w:hint="eastAsia" w:ascii="仿宋" w:hAnsi="仿宋" w:eastAsia="仿宋"/>
          <w:sz w:val="32"/>
          <w:szCs w:val="32"/>
          <w:lang w:eastAsia="zh-CN"/>
        </w:rPr>
        <w:t>城市新区，长城路西侧，位奇路南侧，</w:t>
      </w:r>
      <w:r>
        <w:rPr>
          <w:rFonts w:hint="eastAsia" w:ascii="仿宋" w:hAnsi="仿宋" w:eastAsia="仿宋"/>
          <w:sz w:val="32"/>
          <w:szCs w:val="32"/>
        </w:rPr>
        <w:t>该项目用地面积</w:t>
      </w:r>
      <w:r>
        <w:rPr>
          <w:rFonts w:hint="eastAsia" w:ascii="仿宋" w:hAnsi="仿宋" w:eastAsia="仿宋"/>
          <w:sz w:val="32"/>
          <w:szCs w:val="32"/>
          <w:lang w:val="en-US" w:eastAsia="zh-CN"/>
        </w:rPr>
        <w:t>20566.08</w:t>
      </w:r>
      <w:r>
        <w:rPr>
          <w:rFonts w:hint="eastAsia" w:ascii="仿宋" w:hAnsi="仿宋" w:eastAsia="仿宋"/>
          <w:sz w:val="32"/>
          <w:szCs w:val="32"/>
        </w:rPr>
        <w:t>平方米，主要建设</w:t>
      </w:r>
      <w:r>
        <w:rPr>
          <w:rFonts w:hint="eastAsia" w:ascii="仿宋" w:hAnsi="仿宋" w:eastAsia="仿宋" w:cs="仿宋_GB2312"/>
          <w:sz w:val="32"/>
          <w:szCs w:val="32"/>
        </w:rPr>
        <w:t>400米标准</w:t>
      </w:r>
      <w:r>
        <w:rPr>
          <w:rFonts w:hint="eastAsia" w:ascii="仿宋" w:hAnsi="仿宋" w:eastAsia="仿宋" w:cs="仿宋_GB2312"/>
          <w:sz w:val="32"/>
          <w:szCs w:val="32"/>
          <w:lang w:val="en-US" w:eastAsia="zh-CN"/>
        </w:rPr>
        <w:t>8</w:t>
      </w:r>
      <w:r>
        <w:rPr>
          <w:rFonts w:hint="eastAsia" w:ascii="仿宋" w:hAnsi="仿宋" w:eastAsia="仿宋" w:cs="仿宋_GB2312"/>
          <w:sz w:val="32"/>
          <w:szCs w:val="32"/>
        </w:rPr>
        <w:t>跑道塑胶田径场内套</w:t>
      </w:r>
      <w:r>
        <w:rPr>
          <w:rFonts w:hint="eastAsia" w:ascii="仿宋" w:hAnsi="仿宋" w:eastAsia="仿宋"/>
          <w:sz w:val="32"/>
          <w:szCs w:val="32"/>
        </w:rPr>
        <w:t>11人制标准</w:t>
      </w:r>
      <w:r>
        <w:rPr>
          <w:rFonts w:hint="eastAsia" w:ascii="仿宋" w:hAnsi="仿宋" w:eastAsia="仿宋" w:cs="仿宋_GB2312"/>
          <w:sz w:val="32"/>
          <w:szCs w:val="32"/>
        </w:rPr>
        <w:t>足球场及</w:t>
      </w:r>
      <w:r>
        <w:rPr>
          <w:rFonts w:hint="eastAsia" w:ascii="仿宋" w:hAnsi="仿宋" w:eastAsia="仿宋"/>
          <w:sz w:val="32"/>
          <w:szCs w:val="32"/>
        </w:rPr>
        <w:t>附属功能配套设施等，总投资</w:t>
      </w:r>
      <w:r>
        <w:rPr>
          <w:rFonts w:hint="eastAsia" w:ascii="仿宋" w:hAnsi="仿宋" w:eastAsia="仿宋"/>
          <w:sz w:val="32"/>
          <w:szCs w:val="32"/>
          <w:lang w:val="en-US" w:eastAsia="zh-CN"/>
        </w:rPr>
        <w:t>600</w:t>
      </w:r>
      <w:r>
        <w:rPr>
          <w:rFonts w:hint="eastAsia" w:ascii="仿宋" w:hAnsi="仿宋" w:eastAsia="仿宋"/>
          <w:sz w:val="32"/>
          <w:szCs w:val="32"/>
        </w:rPr>
        <w:t>万元。</w:t>
      </w:r>
    </w:p>
    <w:p>
      <w:pPr>
        <w:numPr>
          <w:ilvl w:val="0"/>
          <w:numId w:val="1"/>
        </w:numPr>
        <w:ind w:firstLine="643" w:firstLineChars="200"/>
        <w:rPr>
          <w:rFonts w:ascii="仿宋" w:hAnsi="仿宋" w:eastAsia="仿宋"/>
          <w:b/>
          <w:bCs/>
          <w:sz w:val="32"/>
          <w:szCs w:val="32"/>
        </w:rPr>
      </w:pPr>
      <w:r>
        <w:rPr>
          <w:rFonts w:hint="eastAsia" w:ascii="仿宋" w:hAnsi="仿宋" w:eastAsia="仿宋"/>
          <w:b/>
          <w:bCs/>
          <w:sz w:val="32"/>
          <w:szCs w:val="32"/>
        </w:rPr>
        <w:t>项目绩效目标。</w:t>
      </w:r>
    </w:p>
    <w:p>
      <w:pPr>
        <w:pStyle w:val="3"/>
        <w:ind w:firstLine="640" w:firstLineChars="200"/>
        <w:rPr>
          <w:rFonts w:ascii="仿宋" w:hAnsi="仿宋" w:eastAsia="仿宋"/>
          <w:sz w:val="32"/>
          <w:szCs w:val="32"/>
        </w:rPr>
      </w:pPr>
      <w:r>
        <w:rPr>
          <w:rFonts w:hint="eastAsia" w:ascii="仿宋" w:hAnsi="仿宋" w:eastAsia="仿宋"/>
          <w:sz w:val="32"/>
          <w:szCs w:val="32"/>
        </w:rPr>
        <w:t>项目位于山丹县</w:t>
      </w:r>
      <w:r>
        <w:rPr>
          <w:rFonts w:hint="eastAsia" w:ascii="仿宋" w:hAnsi="仿宋" w:eastAsia="仿宋"/>
          <w:sz w:val="32"/>
          <w:szCs w:val="32"/>
          <w:lang w:eastAsia="zh-CN"/>
        </w:rPr>
        <w:t>城市新区，长城路西侧，位奇路南侧，</w:t>
      </w:r>
      <w:r>
        <w:rPr>
          <w:rFonts w:hint="eastAsia" w:ascii="仿宋" w:hAnsi="仿宋" w:eastAsia="仿宋"/>
          <w:sz w:val="32"/>
          <w:szCs w:val="32"/>
        </w:rPr>
        <w:t>建成用地面积</w:t>
      </w:r>
      <w:r>
        <w:rPr>
          <w:rFonts w:hint="eastAsia" w:ascii="仿宋" w:hAnsi="仿宋" w:eastAsia="仿宋"/>
          <w:sz w:val="32"/>
          <w:szCs w:val="32"/>
          <w:lang w:val="en-US" w:eastAsia="zh-CN"/>
        </w:rPr>
        <w:t>20566.08</w:t>
      </w:r>
      <w:r>
        <w:rPr>
          <w:rFonts w:hint="eastAsia" w:ascii="仿宋" w:hAnsi="仿宋" w:eastAsia="仿宋"/>
          <w:sz w:val="32"/>
          <w:szCs w:val="32"/>
        </w:rPr>
        <w:t>平方米，400米标准</w:t>
      </w:r>
      <w:r>
        <w:rPr>
          <w:rFonts w:hint="eastAsia" w:ascii="仿宋" w:hAnsi="仿宋" w:eastAsia="仿宋"/>
          <w:sz w:val="32"/>
          <w:szCs w:val="32"/>
          <w:lang w:val="en-US" w:eastAsia="zh-CN"/>
        </w:rPr>
        <w:t>8</w:t>
      </w:r>
      <w:r>
        <w:rPr>
          <w:rFonts w:hint="eastAsia" w:ascii="仿宋" w:hAnsi="仿宋" w:eastAsia="仿宋"/>
          <w:sz w:val="32"/>
          <w:szCs w:val="32"/>
        </w:rPr>
        <w:t>跑道塑胶田径场内套11人制标准足球场1个配套建设附属功能配套设施。</w:t>
      </w:r>
    </w:p>
    <w:p>
      <w:pPr>
        <w:ind w:firstLine="640" w:firstLineChars="200"/>
        <w:rPr>
          <w:rFonts w:ascii="仿宋" w:hAnsi="仿宋" w:eastAsia="仿宋"/>
          <w:sz w:val="32"/>
          <w:szCs w:val="32"/>
        </w:rPr>
      </w:pPr>
      <w:r>
        <w:rPr>
          <w:rFonts w:hint="eastAsia" w:ascii="仿宋" w:hAnsi="仿宋" w:eastAsia="仿宋"/>
          <w:sz w:val="32"/>
          <w:szCs w:val="32"/>
        </w:rPr>
        <w:t>二、绩效评价工作开展情况</w:t>
      </w:r>
    </w:p>
    <w:p>
      <w:pPr>
        <w:ind w:firstLine="643" w:firstLineChars="200"/>
        <w:rPr>
          <w:rFonts w:ascii="仿宋" w:hAnsi="仿宋" w:eastAsia="仿宋"/>
          <w:b/>
          <w:bCs/>
          <w:sz w:val="32"/>
          <w:szCs w:val="32"/>
        </w:rPr>
      </w:pPr>
      <w:r>
        <w:rPr>
          <w:rFonts w:hint="eastAsia" w:ascii="仿宋" w:hAnsi="仿宋" w:eastAsia="仿宋"/>
          <w:b/>
          <w:bCs/>
          <w:sz w:val="32"/>
          <w:szCs w:val="32"/>
        </w:rPr>
        <w:t>（一）评价目的</w:t>
      </w:r>
    </w:p>
    <w:p>
      <w:pPr>
        <w:ind w:firstLine="640" w:firstLineChars="200"/>
        <w:rPr>
          <w:rFonts w:ascii="仿宋" w:hAnsi="仿宋" w:eastAsia="仿宋"/>
          <w:sz w:val="32"/>
          <w:szCs w:val="32"/>
        </w:rPr>
      </w:pPr>
      <w:r>
        <w:rPr>
          <w:rFonts w:hint="eastAsia" w:ascii="仿宋" w:hAnsi="仿宋" w:eastAsia="仿宋" w:cs="仿宋_GB2312"/>
          <w:color w:val="313131"/>
          <w:sz w:val="32"/>
          <w:szCs w:val="32"/>
        </w:rPr>
        <w:t>专项安排</w:t>
      </w:r>
      <w:r>
        <w:rPr>
          <w:rFonts w:hint="eastAsia" w:ascii="仿宋" w:hAnsi="仿宋" w:eastAsia="仿宋" w:cs="仿宋_GB2312"/>
          <w:color w:val="313131"/>
          <w:sz w:val="32"/>
          <w:szCs w:val="32"/>
          <w:lang w:val="en-US" w:eastAsia="zh-CN"/>
        </w:rPr>
        <w:t>39.36</w:t>
      </w:r>
      <w:r>
        <w:rPr>
          <w:rFonts w:hint="eastAsia" w:ascii="仿宋" w:hAnsi="仿宋" w:eastAsia="仿宋" w:cs="仿宋_GB2312"/>
          <w:color w:val="313131"/>
          <w:sz w:val="32"/>
          <w:szCs w:val="32"/>
        </w:rPr>
        <w:t>万元，主要用于山丹县</w:t>
      </w:r>
      <w:r>
        <w:rPr>
          <w:rFonts w:hint="eastAsia" w:ascii="仿宋" w:hAnsi="仿宋" w:eastAsia="仿宋" w:cs="仿宋_GB2312"/>
          <w:color w:val="313131"/>
          <w:sz w:val="32"/>
          <w:szCs w:val="32"/>
          <w:lang w:eastAsia="zh-CN"/>
        </w:rPr>
        <w:t>县级公共体育场和田径跑道</w:t>
      </w:r>
      <w:r>
        <w:rPr>
          <w:rFonts w:hint="eastAsia" w:ascii="仿宋" w:hAnsi="仿宋" w:eastAsia="仿宋" w:cs="仿宋_GB2312"/>
          <w:color w:val="313131"/>
          <w:sz w:val="32"/>
          <w:szCs w:val="32"/>
        </w:rPr>
        <w:t>建设项目。项目由山丹县文体广电和旅游局实施。</w:t>
      </w:r>
      <w:r>
        <w:rPr>
          <w:rFonts w:hint="eastAsia" w:ascii="仿宋" w:hAnsi="仿宋" w:eastAsia="仿宋"/>
          <w:sz w:val="32"/>
          <w:szCs w:val="32"/>
        </w:rPr>
        <w:t>按照项目决策、管理、完成及效果四类指标,对资金支出行为过程及其效果进行综合评价和判断,评价资金使用的科学性、合理性和有效性,分析存在的问题,提出完善资金管理和项目管理的制度机制、调整支出结构相关建议,为年度预算编制提供参考依据,促进提高资金使用效益。</w:t>
      </w:r>
    </w:p>
    <w:p>
      <w:pPr>
        <w:spacing w:line="60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（二）评价原则和依据、评价指标体系、评价方法</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评价原则：在项目评估中遵循科学公正，统筹兼顾，激励约束和公开透明的原则。以设定的绩效目标及相关法律法规、政策要求、单位职责等为依据，采取单位自评、部门评价和财政评价相结合的方式进行评价。</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评价依据：中央、省、市有关政策规定，财务会计制度等。</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评价指标体系：主要从项目资金的投入、业务管理和财务管理过程、项目计划产出和项目计划效益四个方面对评价目标进行逐步分解，从定性和定量两个角度综合考量。</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评价方法：采用定量与定性评价相结合的比较法，从不同层面对</w:t>
      </w:r>
      <w:r>
        <w:rPr>
          <w:rFonts w:hint="eastAsia" w:ascii="仿宋" w:hAnsi="仿宋" w:eastAsia="仿宋" w:cs="仿宋_GB2312"/>
          <w:sz w:val="32"/>
          <w:szCs w:val="32"/>
          <w:lang w:val="en-US" w:eastAsia="zh-CN"/>
        </w:rPr>
        <w:t>2023</w:t>
      </w:r>
      <w:r>
        <w:rPr>
          <w:rFonts w:hint="eastAsia" w:ascii="仿宋" w:hAnsi="仿宋" w:eastAsia="仿宋" w:cs="仿宋_GB2312"/>
          <w:sz w:val="32"/>
          <w:szCs w:val="32"/>
        </w:rPr>
        <w:t>年度预算执行情况的经济性、效率性、效益型、和公平性进行客观分析评判，形成自评价报告。</w:t>
      </w:r>
    </w:p>
    <w:p>
      <w:pPr>
        <w:ind w:firstLine="643" w:firstLineChars="200"/>
        <w:rPr>
          <w:rFonts w:ascii="仿宋" w:hAnsi="仿宋" w:eastAsia="仿宋"/>
          <w:sz w:val="32"/>
          <w:szCs w:val="32"/>
        </w:rPr>
      </w:pPr>
      <w:r>
        <w:rPr>
          <w:rFonts w:hint="eastAsia" w:ascii="仿宋" w:hAnsi="仿宋" w:eastAsia="仿宋"/>
          <w:b/>
          <w:bCs/>
          <w:sz w:val="32"/>
          <w:szCs w:val="32"/>
        </w:rPr>
        <w:t>（三）绩效评价工作过程。</w:t>
      </w:r>
    </w:p>
    <w:p>
      <w:pPr>
        <w:ind w:firstLine="640" w:firstLineChars="200"/>
        <w:rPr>
          <w:rFonts w:ascii="仿宋" w:hAnsi="仿宋" w:eastAsia="仿宋" w:cs="仿宋_GB2312"/>
          <w:sz w:val="32"/>
          <w:szCs w:val="32"/>
        </w:rPr>
      </w:pPr>
      <w:r>
        <w:rPr>
          <w:rFonts w:hint="eastAsia" w:ascii="仿宋" w:hAnsi="仿宋" w:eastAsia="仿宋" w:cs="仿宋_GB2312"/>
          <w:sz w:val="32"/>
          <w:szCs w:val="32"/>
        </w:rPr>
        <w:t>按照省级财政项目支出绩效自评工作的要求,结合我县的实际,组织相关人员根据我局的综合情况选用评价指标和评分标准,认真进行核实和考评。整个绩效评价体系包括三个一级指标(投入、过程和产出与效益),每个一级指标又分别设置若干个二级指标，从不同方面来反映一级指标,每一个二级指标下设多个三级指标,并设置了得分权重和详细的评分标准,对每一个三级指标</w:t>
      </w:r>
      <w:r>
        <w:rPr>
          <w:rFonts w:hint="eastAsia" w:ascii="仿宋" w:hAnsi="仿宋" w:eastAsia="仿宋" w:cs="仿宋_GB2312"/>
          <w:w w:val="95"/>
          <w:sz w:val="32"/>
          <w:szCs w:val="32"/>
        </w:rPr>
        <w:t>进行自评打分,然后对各级指标得分进行加总,得到绩效评价总分。</w:t>
      </w:r>
    </w:p>
    <w:p>
      <w:pPr>
        <w:ind w:firstLine="643" w:firstLineChars="200"/>
        <w:rPr>
          <w:rFonts w:ascii="仿宋" w:hAnsi="仿宋" w:eastAsia="仿宋"/>
          <w:b/>
          <w:sz w:val="32"/>
          <w:szCs w:val="32"/>
        </w:rPr>
      </w:pPr>
      <w:r>
        <w:rPr>
          <w:rFonts w:hint="eastAsia" w:ascii="仿宋" w:hAnsi="仿宋" w:eastAsia="仿宋"/>
          <w:b/>
          <w:sz w:val="32"/>
          <w:szCs w:val="32"/>
        </w:rPr>
        <w:t>三、综合评价情况及评价结论</w:t>
      </w:r>
    </w:p>
    <w:p>
      <w:pPr>
        <w:ind w:firstLine="643" w:firstLineChars="200"/>
        <w:rPr>
          <w:rFonts w:ascii="仿宋" w:hAnsi="仿宋" w:eastAsia="仿宋"/>
          <w:b/>
          <w:bCs/>
          <w:sz w:val="32"/>
          <w:szCs w:val="32"/>
        </w:rPr>
      </w:pPr>
      <w:r>
        <w:rPr>
          <w:rFonts w:hint="eastAsia" w:ascii="仿宋" w:hAnsi="仿宋" w:eastAsia="仿宋"/>
          <w:b/>
          <w:bCs/>
          <w:sz w:val="32"/>
          <w:szCs w:val="32"/>
        </w:rPr>
        <w:t>（一）资金到位情况</w:t>
      </w:r>
    </w:p>
    <w:p>
      <w:pPr>
        <w:ind w:firstLine="640" w:firstLineChars="200"/>
        <w:rPr>
          <w:rFonts w:ascii="仿宋" w:hAnsi="仿宋" w:eastAsia="仿宋"/>
          <w:sz w:val="32"/>
          <w:szCs w:val="32"/>
        </w:rPr>
      </w:pPr>
      <w:r>
        <w:rPr>
          <w:rFonts w:hint="eastAsia" w:ascii="仿宋" w:hAnsi="仿宋" w:eastAsia="仿宋" w:cs="仿宋_GB2312"/>
          <w:sz w:val="32"/>
          <w:szCs w:val="32"/>
          <w:lang w:eastAsia="zh-CN"/>
        </w:rPr>
        <w:t>山丹县财政局山财预</w:t>
      </w:r>
      <w:r>
        <w:rPr>
          <w:rFonts w:hint="eastAsia" w:ascii="仿宋" w:hAnsi="仿宋" w:eastAsia="仿宋" w:cs="仿宋_GB2312"/>
          <w:sz w:val="32"/>
          <w:szCs w:val="32"/>
        </w:rPr>
        <w:t>〔202</w:t>
      </w:r>
      <w:r>
        <w:rPr>
          <w:rFonts w:hint="eastAsia" w:ascii="仿宋" w:hAnsi="仿宋" w:eastAsia="仿宋" w:cs="仿宋_GB2312"/>
          <w:sz w:val="32"/>
          <w:szCs w:val="32"/>
          <w:lang w:val="en-US" w:eastAsia="zh-CN"/>
        </w:rPr>
        <w:t>3</w:t>
      </w:r>
      <w:r>
        <w:rPr>
          <w:rFonts w:hint="eastAsia" w:ascii="仿宋" w:hAnsi="仿宋" w:eastAsia="仿宋" w:cs="仿宋_GB2312"/>
          <w:sz w:val="32"/>
          <w:szCs w:val="32"/>
        </w:rPr>
        <w:t>〕</w:t>
      </w:r>
      <w:r>
        <w:rPr>
          <w:rFonts w:hint="eastAsia" w:ascii="仿宋" w:hAnsi="仿宋" w:eastAsia="仿宋" w:cs="仿宋_GB2312"/>
          <w:sz w:val="32"/>
          <w:szCs w:val="32"/>
          <w:lang w:val="en-US" w:eastAsia="zh-CN"/>
        </w:rPr>
        <w:t>28</w:t>
      </w:r>
      <w:r>
        <w:rPr>
          <w:rFonts w:hint="eastAsia" w:ascii="仿宋" w:hAnsi="仿宋" w:eastAsia="仿宋" w:cs="仿宋_GB2312"/>
          <w:sz w:val="32"/>
          <w:szCs w:val="32"/>
        </w:rPr>
        <w:t>号</w:t>
      </w:r>
      <w:r>
        <w:rPr>
          <w:rFonts w:hint="eastAsia" w:ascii="仿宋" w:hAnsi="仿宋" w:eastAsia="仿宋"/>
          <w:sz w:val="32"/>
          <w:szCs w:val="32"/>
        </w:rPr>
        <w:t>专项下达</w:t>
      </w:r>
      <w:r>
        <w:rPr>
          <w:rFonts w:hint="eastAsia" w:ascii="仿宋" w:hAnsi="仿宋" w:eastAsia="仿宋" w:cs="仿宋_GB2312"/>
          <w:color w:val="313131"/>
          <w:sz w:val="32"/>
          <w:szCs w:val="32"/>
        </w:rPr>
        <w:t>山丹县</w:t>
      </w:r>
      <w:r>
        <w:rPr>
          <w:rFonts w:hint="eastAsia" w:ascii="仿宋" w:hAnsi="仿宋" w:eastAsia="仿宋" w:cs="仿宋_GB2312"/>
          <w:color w:val="313131"/>
          <w:sz w:val="32"/>
          <w:szCs w:val="32"/>
          <w:lang w:eastAsia="zh-CN"/>
        </w:rPr>
        <w:t>县级公共体育场和田径跑道</w:t>
      </w:r>
      <w:r>
        <w:rPr>
          <w:rFonts w:hint="eastAsia" w:ascii="仿宋" w:hAnsi="仿宋" w:eastAsia="仿宋" w:cs="仿宋_GB2312"/>
          <w:color w:val="313131"/>
          <w:sz w:val="32"/>
          <w:szCs w:val="32"/>
        </w:rPr>
        <w:t>建设项目</w:t>
      </w:r>
      <w:r>
        <w:rPr>
          <w:rFonts w:hint="eastAsia" w:ascii="仿宋" w:hAnsi="仿宋" w:eastAsia="仿宋"/>
          <w:sz w:val="32"/>
          <w:szCs w:val="32"/>
        </w:rPr>
        <w:t>资金</w:t>
      </w:r>
      <w:r>
        <w:rPr>
          <w:rFonts w:hint="eastAsia" w:ascii="仿宋" w:hAnsi="仿宋" w:eastAsia="仿宋"/>
          <w:sz w:val="32"/>
          <w:szCs w:val="32"/>
          <w:lang w:val="en-US" w:eastAsia="zh-CN"/>
        </w:rPr>
        <w:t>39.36</w:t>
      </w:r>
      <w:r>
        <w:rPr>
          <w:rFonts w:hint="eastAsia" w:ascii="仿宋" w:hAnsi="仿宋" w:eastAsia="仿宋"/>
          <w:sz w:val="32"/>
          <w:szCs w:val="32"/>
        </w:rPr>
        <w:t>万元。</w:t>
      </w:r>
    </w:p>
    <w:p>
      <w:pPr>
        <w:ind w:firstLine="643" w:firstLineChars="200"/>
        <w:rPr>
          <w:rFonts w:ascii="仿宋" w:hAnsi="仿宋" w:eastAsia="仿宋"/>
          <w:b/>
          <w:bCs/>
          <w:sz w:val="32"/>
          <w:szCs w:val="32"/>
        </w:rPr>
      </w:pPr>
      <w:r>
        <w:rPr>
          <w:rFonts w:hint="eastAsia" w:ascii="仿宋" w:hAnsi="仿宋" w:eastAsia="仿宋"/>
          <w:b/>
          <w:bCs/>
          <w:sz w:val="32"/>
          <w:szCs w:val="32"/>
        </w:rPr>
        <w:t>（二）项目支出预算执行情况。</w:t>
      </w:r>
    </w:p>
    <w:p>
      <w:pPr>
        <w:ind w:firstLine="640" w:firstLineChars="200"/>
        <w:outlineLvl w:val="0"/>
        <w:rPr>
          <w:rFonts w:ascii="仿宋" w:hAnsi="仿宋" w:eastAsia="仿宋"/>
          <w:sz w:val="32"/>
          <w:szCs w:val="32"/>
        </w:rPr>
      </w:pPr>
      <w:r>
        <w:rPr>
          <w:rFonts w:ascii="仿宋" w:hAnsi="仿宋" w:eastAsia="仿宋"/>
          <w:sz w:val="32"/>
          <w:szCs w:val="32"/>
        </w:rPr>
        <w:t>按照《行政事业单位会计制度》、《会计基础工作规范》及</w:t>
      </w:r>
    </w:p>
    <w:p>
      <w:pPr>
        <w:rPr>
          <w:rFonts w:ascii="仿宋" w:hAnsi="仿宋" w:eastAsia="仿宋"/>
          <w:sz w:val="32"/>
          <w:szCs w:val="32"/>
        </w:rPr>
      </w:pPr>
      <w:r>
        <w:rPr>
          <w:rFonts w:ascii="仿宋" w:hAnsi="仿宋" w:eastAsia="仿宋"/>
          <w:sz w:val="32"/>
          <w:szCs w:val="32"/>
        </w:rPr>
        <w:t>专项资金管理办法的规定,明确了专项资金的使用范围及管理核</w:t>
      </w:r>
    </w:p>
    <w:p>
      <w:pPr>
        <w:rPr>
          <w:rFonts w:ascii="仿宋" w:hAnsi="仿宋" w:eastAsia="仿宋"/>
          <w:sz w:val="32"/>
          <w:szCs w:val="32"/>
        </w:rPr>
      </w:pPr>
      <w:r>
        <w:rPr>
          <w:rFonts w:ascii="仿宋" w:hAnsi="仿宋" w:eastAsia="仿宋"/>
          <w:sz w:val="32"/>
          <w:szCs w:val="32"/>
        </w:rPr>
        <w:t>算要求,</w:t>
      </w:r>
      <w:r>
        <w:rPr>
          <w:rFonts w:hint="eastAsia" w:ascii="仿宋" w:hAnsi="仿宋" w:eastAsia="仿宋"/>
          <w:sz w:val="32"/>
          <w:szCs w:val="32"/>
        </w:rPr>
        <w:t>项目支出预算</w:t>
      </w:r>
      <w:r>
        <w:rPr>
          <w:rFonts w:ascii="仿宋" w:hAnsi="仿宋" w:eastAsia="仿宋"/>
          <w:sz w:val="32"/>
          <w:szCs w:val="32"/>
        </w:rPr>
        <w:t>始终坚持专款专用、专户管理、专账核算。</w:t>
      </w:r>
      <w:r>
        <w:rPr>
          <w:rFonts w:hint="eastAsia" w:ascii="仿宋" w:hAnsi="仿宋" w:eastAsia="仿宋"/>
          <w:sz w:val="32"/>
          <w:szCs w:val="32"/>
        </w:rPr>
        <w:t>严格执行财经纪律和项目采购要求，确保项目资金规范运行</w:t>
      </w:r>
      <w:r>
        <w:rPr>
          <w:rFonts w:ascii="仿宋" w:hAnsi="仿宋" w:eastAsia="仿宋"/>
          <w:sz w:val="32"/>
          <w:szCs w:val="32"/>
        </w:rPr>
        <w:t>。</w:t>
      </w:r>
    </w:p>
    <w:p>
      <w:pPr>
        <w:ind w:firstLine="643" w:firstLineChars="200"/>
        <w:rPr>
          <w:rFonts w:ascii="仿宋" w:hAnsi="仿宋" w:eastAsia="仿宋"/>
          <w:b/>
          <w:bCs/>
          <w:sz w:val="32"/>
          <w:szCs w:val="32"/>
        </w:rPr>
      </w:pPr>
      <w:r>
        <w:rPr>
          <w:rFonts w:hint="eastAsia" w:ascii="仿宋" w:hAnsi="仿宋" w:eastAsia="仿宋"/>
          <w:b/>
          <w:bCs/>
          <w:sz w:val="32"/>
          <w:szCs w:val="32"/>
        </w:rPr>
        <w:t>（三）总体绩效目标完成情况分析。</w:t>
      </w:r>
    </w:p>
    <w:p>
      <w:pPr>
        <w:ind w:firstLine="640" w:firstLineChars="200"/>
        <w:rPr>
          <w:rFonts w:ascii="仿宋" w:hAnsi="仿宋" w:eastAsia="仿宋" w:cs="仿宋_GB2312"/>
          <w:color w:val="313131"/>
          <w:sz w:val="32"/>
          <w:szCs w:val="32"/>
        </w:rPr>
      </w:pPr>
      <w:r>
        <w:rPr>
          <w:rFonts w:hint="eastAsia" w:ascii="仿宋" w:hAnsi="仿宋" w:eastAsia="仿宋"/>
          <w:color w:val="313131"/>
          <w:sz w:val="32"/>
          <w:szCs w:val="32"/>
        </w:rPr>
        <w:t>总体上看，该项目规划科学，决策依据充分，资金到位及时。项目单位严格按照足球场建设要求，高标准严要求完成项目建设任务。至目前，</w:t>
      </w:r>
      <w:r>
        <w:rPr>
          <w:rFonts w:hint="eastAsia" w:ascii="仿宋" w:hAnsi="仿宋" w:eastAsia="仿宋"/>
          <w:sz w:val="32"/>
          <w:szCs w:val="32"/>
        </w:rPr>
        <w:t>用地面积</w:t>
      </w:r>
      <w:r>
        <w:rPr>
          <w:rFonts w:hint="eastAsia" w:ascii="仿宋" w:hAnsi="仿宋" w:eastAsia="仿宋"/>
          <w:sz w:val="32"/>
          <w:szCs w:val="32"/>
          <w:lang w:val="en-US" w:eastAsia="zh-CN"/>
        </w:rPr>
        <w:t>20566.08</w:t>
      </w:r>
      <w:r>
        <w:rPr>
          <w:rFonts w:hint="eastAsia" w:ascii="仿宋" w:hAnsi="仿宋" w:eastAsia="仿宋"/>
          <w:sz w:val="32"/>
          <w:szCs w:val="32"/>
        </w:rPr>
        <w:t>平方米，</w:t>
      </w:r>
      <w:r>
        <w:rPr>
          <w:rFonts w:hint="eastAsia" w:ascii="仿宋" w:hAnsi="仿宋" w:eastAsia="仿宋" w:cs="仿宋_GB2312"/>
          <w:sz w:val="32"/>
          <w:szCs w:val="32"/>
        </w:rPr>
        <w:t>400米标准</w:t>
      </w:r>
      <w:r>
        <w:rPr>
          <w:rFonts w:hint="eastAsia" w:ascii="仿宋" w:hAnsi="仿宋" w:eastAsia="仿宋" w:cs="仿宋_GB2312"/>
          <w:sz w:val="32"/>
          <w:szCs w:val="32"/>
          <w:lang w:val="en-US" w:eastAsia="zh-CN"/>
        </w:rPr>
        <w:t>8</w:t>
      </w:r>
      <w:r>
        <w:rPr>
          <w:rFonts w:hint="eastAsia" w:ascii="仿宋" w:hAnsi="仿宋" w:eastAsia="仿宋" w:cs="仿宋_GB2312"/>
          <w:sz w:val="32"/>
          <w:szCs w:val="32"/>
        </w:rPr>
        <w:t>跑道塑胶田径场内套</w:t>
      </w:r>
      <w:r>
        <w:rPr>
          <w:rFonts w:hint="eastAsia" w:ascii="仿宋" w:hAnsi="仿宋" w:eastAsia="仿宋"/>
          <w:sz w:val="32"/>
          <w:szCs w:val="32"/>
        </w:rPr>
        <w:t>11人制标准</w:t>
      </w:r>
      <w:r>
        <w:rPr>
          <w:rFonts w:hint="eastAsia" w:ascii="仿宋" w:hAnsi="仿宋" w:eastAsia="仿宋" w:cs="仿宋_GB2312"/>
          <w:sz w:val="32"/>
          <w:szCs w:val="32"/>
        </w:rPr>
        <w:t>足球场</w:t>
      </w:r>
      <w:r>
        <w:rPr>
          <w:rFonts w:hint="eastAsia" w:ascii="仿宋" w:hAnsi="仿宋" w:eastAsia="仿宋"/>
          <w:color w:val="313131"/>
          <w:sz w:val="32"/>
          <w:szCs w:val="32"/>
        </w:rPr>
        <w:t>已建成并</w:t>
      </w:r>
      <w:r>
        <w:rPr>
          <w:rFonts w:hint="eastAsia" w:ascii="仿宋" w:hAnsi="仿宋" w:eastAsia="仿宋"/>
          <w:sz w:val="32"/>
          <w:szCs w:val="32"/>
        </w:rPr>
        <w:t>配套建设了管理用房、卫生间等附属功能设施</w:t>
      </w:r>
      <w:r>
        <w:rPr>
          <w:rFonts w:hint="eastAsia" w:ascii="仿宋" w:hAnsi="仿宋" w:eastAsia="仿宋"/>
          <w:color w:val="313131"/>
          <w:sz w:val="32"/>
          <w:szCs w:val="32"/>
        </w:rPr>
        <w:t>。项目单位按照“谁支出、谁自评”的原则，对照绩效目标认真开展了项目资金绩效评价，自评得</w:t>
      </w:r>
      <w:r>
        <w:rPr>
          <w:rFonts w:hint="eastAsia" w:ascii="仿宋" w:hAnsi="仿宋" w:eastAsia="仿宋" w:cs="仿宋_GB2312"/>
          <w:color w:val="313131"/>
          <w:sz w:val="32"/>
          <w:szCs w:val="32"/>
        </w:rPr>
        <w:t>分98分。</w:t>
      </w:r>
    </w:p>
    <w:p>
      <w:pPr>
        <w:ind w:firstLine="643" w:firstLineChars="200"/>
        <w:rPr>
          <w:rFonts w:ascii="仿宋" w:hAnsi="仿宋" w:eastAsia="仿宋"/>
          <w:b/>
          <w:bCs/>
          <w:sz w:val="32"/>
          <w:szCs w:val="32"/>
        </w:rPr>
      </w:pPr>
      <w:r>
        <w:rPr>
          <w:rFonts w:hint="eastAsia" w:ascii="仿宋" w:hAnsi="仿宋" w:eastAsia="仿宋"/>
          <w:b/>
          <w:bCs/>
          <w:sz w:val="32"/>
          <w:szCs w:val="32"/>
        </w:rPr>
        <w:t>（四）各项指标完成情况分析。</w:t>
      </w:r>
    </w:p>
    <w:p>
      <w:pPr>
        <w:ind w:firstLine="643" w:firstLineChars="200"/>
        <w:outlineLvl w:val="0"/>
        <w:rPr>
          <w:rFonts w:ascii="仿宋" w:hAnsi="仿宋" w:eastAsia="仿宋"/>
          <w:b/>
          <w:bCs/>
          <w:sz w:val="32"/>
          <w:szCs w:val="32"/>
        </w:rPr>
      </w:pPr>
      <w:r>
        <w:rPr>
          <w:rFonts w:hint="eastAsia" w:ascii="仿宋" w:hAnsi="仿宋" w:eastAsia="仿宋"/>
          <w:b/>
          <w:bCs/>
          <w:sz w:val="32"/>
          <w:szCs w:val="32"/>
        </w:rPr>
        <w:t>1.项目决策情况分析。</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该项目由山丹县文体广电和旅游局组织实施，为确保项目能如期顺利完成，成立项目领导小组，局党组书记、局长担任组长，并下设办公室，办公室设在文化旅游产业发展中心，具体负责协调项目施工、质量监督、设备安装和竣工验收等。同时加强与施工单位联系，定期进行质量检查，并随时接受上级业务主管部门的检查监督。</w:t>
      </w:r>
    </w:p>
    <w:p>
      <w:pPr>
        <w:ind w:firstLine="643" w:firstLineChars="200"/>
        <w:outlineLvl w:val="0"/>
        <w:rPr>
          <w:rFonts w:ascii="仿宋" w:hAnsi="仿宋" w:eastAsia="仿宋"/>
          <w:b/>
          <w:bCs/>
          <w:sz w:val="32"/>
          <w:szCs w:val="32"/>
        </w:rPr>
      </w:pPr>
      <w:r>
        <w:rPr>
          <w:rFonts w:hint="eastAsia" w:ascii="仿宋" w:hAnsi="仿宋" w:eastAsia="仿宋"/>
          <w:b/>
          <w:bCs/>
          <w:sz w:val="32"/>
          <w:szCs w:val="32"/>
        </w:rPr>
        <w:t>2.项目过程情况分析。</w:t>
      </w:r>
    </w:p>
    <w:p>
      <w:pPr>
        <w:spacing w:line="560" w:lineRule="exact"/>
        <w:ind w:firstLine="640" w:firstLineChars="200"/>
        <w:rPr>
          <w:rFonts w:ascii="仿宋" w:hAnsi="仿宋" w:eastAsia="仿宋" w:cs="仿宋_GB2312"/>
          <w:b/>
          <w:sz w:val="32"/>
          <w:szCs w:val="32"/>
        </w:rPr>
      </w:pPr>
      <w:r>
        <w:rPr>
          <w:rFonts w:hint="eastAsia" w:ascii="仿宋" w:hAnsi="仿宋" w:eastAsia="仿宋" w:cs="仿宋_GB2312"/>
          <w:sz w:val="32"/>
          <w:szCs w:val="32"/>
        </w:rPr>
        <w:t>项目建设过程中，项目建设领导小组将严格按照国家投资体制改革的相关规定及上级的要求，对土建设计、招投标、工程质量监督、项目资金运行等环节，严格按照有关规范操作，明确责任，加强管理，杜绝浪费和挤占挪用，并结合建设条件及项目资金情况，充分发挥施工单位和技术协作单位的优势，节省投资，加快进度，争取早开工、早建成、早见效，使项目工程保质、保量地按期完成，最终确保中央资金最大限度地发挥效益。</w:t>
      </w:r>
    </w:p>
    <w:p>
      <w:pPr>
        <w:spacing w:line="560" w:lineRule="exact"/>
        <w:ind w:firstLine="643" w:firstLineChars="200"/>
        <w:rPr>
          <w:rFonts w:ascii="仿宋" w:hAnsi="仿宋" w:eastAsia="仿宋"/>
          <w:b/>
          <w:bCs/>
          <w:sz w:val="32"/>
          <w:szCs w:val="32"/>
        </w:rPr>
      </w:pPr>
      <w:r>
        <w:rPr>
          <w:rFonts w:hint="eastAsia" w:ascii="仿宋" w:hAnsi="仿宋" w:eastAsia="仿宋"/>
          <w:b/>
          <w:bCs/>
          <w:sz w:val="32"/>
          <w:szCs w:val="32"/>
        </w:rPr>
        <w:t>3.项目产出指标情况分析。</w:t>
      </w:r>
    </w:p>
    <w:p>
      <w:pPr>
        <w:widowControl/>
        <w:spacing w:line="600" w:lineRule="exact"/>
        <w:ind w:firstLine="640" w:firstLineChars="200"/>
        <w:rPr>
          <w:rFonts w:ascii="仿宋" w:hAnsi="仿宋" w:eastAsia="仿宋"/>
          <w:sz w:val="32"/>
          <w:szCs w:val="32"/>
        </w:rPr>
      </w:pPr>
      <w:r>
        <w:rPr>
          <w:rFonts w:hint="eastAsia" w:ascii="仿宋" w:hAnsi="仿宋" w:eastAsia="仿宋"/>
          <w:sz w:val="32"/>
          <w:szCs w:val="32"/>
        </w:rPr>
        <w:t>项目资金下达后，按照项目建设内容、要求，本着勤俭节约的原则，按照施工进度支付项目资金，保质保量如期完成了建设任务。</w:t>
      </w:r>
    </w:p>
    <w:p>
      <w:pPr>
        <w:ind w:firstLine="643" w:firstLineChars="200"/>
        <w:outlineLvl w:val="0"/>
        <w:rPr>
          <w:rFonts w:ascii="仿宋" w:hAnsi="仿宋" w:eastAsia="仿宋"/>
          <w:b/>
          <w:bCs/>
          <w:sz w:val="32"/>
          <w:szCs w:val="32"/>
        </w:rPr>
      </w:pPr>
      <w:r>
        <w:rPr>
          <w:rFonts w:hint="eastAsia" w:ascii="仿宋" w:hAnsi="仿宋" w:eastAsia="仿宋"/>
          <w:b/>
          <w:bCs/>
          <w:sz w:val="32"/>
          <w:szCs w:val="32"/>
        </w:rPr>
        <w:t>4.项目效益指标情况分析。</w:t>
      </w:r>
    </w:p>
    <w:p>
      <w:pPr>
        <w:spacing w:line="56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111F2C"/>
          <w:sz w:val="32"/>
          <w:szCs w:val="32"/>
        </w:rPr>
        <w:t>我县根据实际情况,对“项目资金”纳入“体育重点项目”进行管理使用，</w:t>
      </w:r>
      <w:r>
        <w:rPr>
          <w:rStyle w:val="11"/>
          <w:rFonts w:hint="eastAsia" w:ascii="仿宋" w:hAnsi="仿宋" w:eastAsia="仿宋" w:cs="仿宋_GB2312"/>
          <w:b w:val="0"/>
          <w:bCs w:val="0"/>
        </w:rPr>
        <w:t>资金安排</w:t>
      </w:r>
      <w:r>
        <w:rPr>
          <w:rFonts w:hint="eastAsia" w:ascii="仿宋" w:hAnsi="仿宋" w:eastAsia="仿宋" w:cs="仿宋_GB2312"/>
          <w:sz w:val="32"/>
          <w:szCs w:val="32"/>
        </w:rPr>
        <w:t>根据项目实施进度，在建设工期内全部投入。</w:t>
      </w:r>
      <w:r>
        <w:rPr>
          <w:rFonts w:hint="eastAsia" w:ascii="仿宋" w:hAnsi="仿宋" w:eastAsia="仿宋" w:cs="仿宋_GB2312"/>
          <w:color w:val="111F2C"/>
          <w:sz w:val="32"/>
          <w:szCs w:val="32"/>
        </w:rPr>
        <w:t>通过实施</w:t>
      </w:r>
      <w:r>
        <w:rPr>
          <w:rFonts w:hint="eastAsia" w:ascii="仿宋" w:hAnsi="仿宋" w:eastAsia="仿宋" w:cs="仿宋_GB2312"/>
          <w:sz w:val="32"/>
          <w:szCs w:val="32"/>
        </w:rPr>
        <w:t>该项目的建设，</w:t>
      </w:r>
      <w:r>
        <w:rPr>
          <w:rFonts w:hint="eastAsia" w:ascii="仿宋" w:hAnsi="仿宋" w:eastAsia="仿宋" w:cs="仿宋_GB2312"/>
          <w:color w:val="000000"/>
          <w:kern w:val="0"/>
          <w:sz w:val="32"/>
          <w:szCs w:val="32"/>
        </w:rPr>
        <w:t>将完善社区公共体育场基础设施，将从根本上改善山丹县社区体育活动基础条件，为居民提供良好体育活动环境，</w:t>
      </w:r>
      <w:r>
        <w:rPr>
          <w:rFonts w:hint="eastAsia" w:ascii="仿宋" w:hAnsi="仿宋" w:eastAsia="仿宋" w:cs="仿宋_GB2312"/>
          <w:sz w:val="32"/>
          <w:szCs w:val="32"/>
        </w:rPr>
        <w:t>优化城乡生态环境，促进经济社会发展，进一步加快体育事业发展进程。该项目的实施必将进一步促进山丹县体育事业发展，是山丹县发展体育运动、增强国民体质的迫切需要，也是提高群众体质及健康水平，促进社会物质文明和精神文明建设重要举措，更是全面落实全民健身国家战略，加快推进体育强国建设的重要内容</w:t>
      </w:r>
      <w:r>
        <w:rPr>
          <w:rFonts w:ascii="仿宋" w:hAnsi="仿宋" w:eastAsia="仿宋" w:cs="仿宋_GB2312"/>
          <w:color w:val="000000"/>
          <w:kern w:val="0"/>
          <w:sz w:val="32"/>
          <w:szCs w:val="32"/>
        </w:rPr>
        <w:t>。</w:t>
      </w:r>
    </w:p>
    <w:p>
      <w:pPr>
        <w:ind w:firstLine="643" w:firstLineChars="200"/>
        <w:outlineLvl w:val="0"/>
        <w:rPr>
          <w:rFonts w:ascii="仿宋" w:hAnsi="仿宋" w:eastAsia="仿宋"/>
          <w:b/>
          <w:bCs/>
          <w:sz w:val="32"/>
          <w:szCs w:val="32"/>
        </w:rPr>
      </w:pPr>
      <w:r>
        <w:rPr>
          <w:rFonts w:hint="eastAsia" w:ascii="仿宋" w:hAnsi="仿宋" w:eastAsia="仿宋"/>
          <w:b/>
          <w:bCs/>
          <w:sz w:val="32"/>
          <w:szCs w:val="32"/>
        </w:rPr>
        <w:t>5.项目满意度指标情况分析。</w:t>
      </w:r>
    </w:p>
    <w:p>
      <w:pPr>
        <w:spacing w:line="560" w:lineRule="exact"/>
        <w:ind w:firstLine="640" w:firstLineChars="200"/>
        <w:rPr>
          <w:rFonts w:ascii="仿宋" w:hAnsi="仿宋" w:eastAsia="仿宋" w:cs="仿宋_GB2312"/>
          <w:sz w:val="32"/>
          <w:szCs w:val="32"/>
        </w:rPr>
      </w:pPr>
      <w:r>
        <w:rPr>
          <w:rFonts w:hint="eastAsia" w:ascii="仿宋" w:hAnsi="仿宋" w:eastAsia="仿宋"/>
          <w:sz w:val="32"/>
          <w:szCs w:val="32"/>
        </w:rPr>
        <w:t>项目位于山丹县城市新区</w:t>
      </w:r>
      <w:r>
        <w:rPr>
          <w:rFonts w:hint="eastAsia" w:ascii="仿宋" w:hAnsi="仿宋" w:eastAsia="仿宋"/>
          <w:sz w:val="32"/>
          <w:szCs w:val="32"/>
          <w:lang w:eastAsia="zh-CN"/>
        </w:rPr>
        <w:t>，长城路西侧、位奇路南侧，</w:t>
      </w:r>
      <w:r>
        <w:rPr>
          <w:rFonts w:hint="eastAsia" w:ascii="仿宋" w:hAnsi="仿宋" w:eastAsia="仿宋" w:cs="仿宋_GB2312"/>
          <w:sz w:val="32"/>
          <w:szCs w:val="32"/>
        </w:rPr>
        <w:t>周边群众健身需求强烈，健身人群众多，项目的实施为周边群众创造了亲民、便民、利民的健身环境，满足了群众健身需求，群众满意度明显上升。</w:t>
      </w:r>
    </w:p>
    <w:p>
      <w:pPr>
        <w:ind w:firstLine="643" w:firstLineChars="200"/>
        <w:outlineLvl w:val="0"/>
        <w:rPr>
          <w:rFonts w:ascii="仿宋" w:hAnsi="仿宋" w:eastAsia="仿宋"/>
          <w:b/>
          <w:bCs/>
          <w:sz w:val="32"/>
          <w:szCs w:val="32"/>
        </w:rPr>
      </w:pPr>
      <w:r>
        <w:rPr>
          <w:rFonts w:hint="eastAsia" w:ascii="仿宋" w:hAnsi="仿宋" w:eastAsia="仿宋"/>
          <w:b/>
          <w:bCs/>
          <w:sz w:val="32"/>
          <w:szCs w:val="32"/>
        </w:rPr>
        <w:t>6.偏离绩效目标的原因及下一步改进措施。</w:t>
      </w:r>
    </w:p>
    <w:p>
      <w:pPr>
        <w:ind w:firstLine="640" w:firstLineChars="200"/>
        <w:rPr>
          <w:rFonts w:ascii="仿宋" w:hAnsi="仿宋" w:eastAsia="仿宋" w:cs="仿宋"/>
          <w:sz w:val="32"/>
          <w:szCs w:val="32"/>
        </w:rPr>
      </w:pPr>
      <w:r>
        <w:rPr>
          <w:rFonts w:hint="eastAsia" w:ascii="仿宋" w:hAnsi="仿宋" w:eastAsia="仿宋" w:cs="仿宋_GB2312"/>
          <w:sz w:val="32"/>
          <w:szCs w:val="32"/>
        </w:rPr>
        <w:t xml:space="preserve"> 本年度绩效目标全部按时完成。</w:t>
      </w:r>
      <w:r>
        <w:rPr>
          <w:rFonts w:hint="eastAsia" w:ascii="仿宋" w:hAnsi="仿宋" w:eastAsia="仿宋" w:cs="仿宋"/>
          <w:sz w:val="32"/>
          <w:szCs w:val="32"/>
        </w:rPr>
        <w:t>今后，我们将顺应发展的势头，努力构建全民健身服务体系，积极争取体育基础设施项目，完善乡镇社区公共体育基础设施，加快体育产业发展，增强体育发展后劲，实现群众体育、竞技体育、体育产业全面发展。</w:t>
      </w:r>
    </w:p>
    <w:p>
      <w:pPr>
        <w:ind w:firstLine="643" w:firstLineChars="200"/>
        <w:rPr>
          <w:rFonts w:ascii="仿宋" w:hAnsi="仿宋" w:eastAsia="仿宋"/>
          <w:b/>
          <w:sz w:val="32"/>
          <w:szCs w:val="32"/>
        </w:rPr>
      </w:pPr>
      <w:r>
        <w:rPr>
          <w:rFonts w:hint="eastAsia" w:ascii="仿宋" w:hAnsi="仿宋" w:eastAsia="仿宋"/>
          <w:b/>
          <w:sz w:val="32"/>
          <w:szCs w:val="32"/>
        </w:rPr>
        <w:t>四、绩</w:t>
      </w:r>
      <w:r>
        <w:rPr>
          <w:rFonts w:ascii="仿宋" w:hAnsi="仿宋" w:eastAsia="仿宋"/>
          <w:b/>
          <w:sz w:val="32"/>
          <w:szCs w:val="32"/>
        </w:rPr>
        <w:t>效自评结果</w:t>
      </w:r>
      <w:r>
        <w:rPr>
          <w:rFonts w:hint="eastAsia" w:ascii="仿宋" w:hAnsi="仿宋" w:eastAsia="仿宋"/>
          <w:b/>
          <w:sz w:val="32"/>
          <w:szCs w:val="32"/>
        </w:rPr>
        <w:t>拟</w:t>
      </w:r>
      <w:r>
        <w:rPr>
          <w:rFonts w:ascii="仿宋" w:hAnsi="仿宋" w:eastAsia="仿宋"/>
          <w:b/>
          <w:sz w:val="32"/>
          <w:szCs w:val="32"/>
        </w:rPr>
        <w:t>应用和公开情况</w:t>
      </w:r>
    </w:p>
    <w:p>
      <w:pPr>
        <w:spacing w:line="600" w:lineRule="exact"/>
        <w:ind w:firstLine="640" w:firstLineChars="200"/>
        <w:rPr>
          <w:rFonts w:hint="default" w:ascii="仿宋_GB2312" w:eastAsia="仿宋_GB2312"/>
          <w:sz w:val="32"/>
          <w:szCs w:val="32"/>
          <w:lang w:val="en-US" w:eastAsia="zh-CN"/>
        </w:rPr>
      </w:pPr>
      <w:r>
        <w:rPr>
          <w:rFonts w:hint="eastAsia" w:ascii="仿宋" w:hAnsi="仿宋" w:eastAsia="仿宋"/>
          <w:sz w:val="32"/>
          <w:szCs w:val="32"/>
        </w:rPr>
        <w:t xml:space="preserve"> </w:t>
      </w:r>
      <w:r>
        <w:rPr>
          <w:rFonts w:hint="eastAsia" w:ascii="仿宋_GB2312" w:hAnsi="楷体" w:eastAsia="仿宋_GB2312" w:cs="仿宋_GB2312"/>
          <w:color w:val="000000"/>
          <w:kern w:val="0"/>
          <w:sz w:val="32"/>
          <w:szCs w:val="32"/>
          <w:lang w:eastAsia="zh-CN"/>
        </w:rPr>
        <w:t>总体上看，该项目规划科学，决策依据充分，资金到位及时。按照项目实施要求，自评得分</w:t>
      </w:r>
      <w:r>
        <w:rPr>
          <w:rFonts w:hint="eastAsia" w:ascii="仿宋_GB2312" w:hAnsi="楷体" w:eastAsia="仿宋_GB2312" w:cs="仿宋_GB2312"/>
          <w:color w:val="000000"/>
          <w:kern w:val="0"/>
          <w:sz w:val="32"/>
          <w:szCs w:val="32"/>
          <w:lang w:val="en-US" w:eastAsia="zh-CN"/>
        </w:rPr>
        <w:t>93分</w:t>
      </w:r>
    </w:p>
    <w:p>
      <w:pPr>
        <w:rPr>
          <w:rFonts w:ascii="仿宋" w:hAnsi="仿宋" w:eastAsia="仿宋" w:cs="仿宋"/>
          <w:sz w:val="32"/>
          <w:szCs w:val="32"/>
        </w:rPr>
      </w:pPr>
    </w:p>
    <w:p>
      <w:pPr>
        <w:ind w:firstLine="643" w:firstLineChars="200"/>
        <w:rPr>
          <w:rFonts w:ascii="仿宋" w:hAnsi="仿宋" w:eastAsia="仿宋"/>
          <w:b/>
          <w:sz w:val="32"/>
          <w:szCs w:val="32"/>
        </w:rPr>
      </w:pPr>
      <w:r>
        <w:rPr>
          <w:rFonts w:hint="eastAsia" w:ascii="仿宋" w:hAnsi="仿宋" w:eastAsia="仿宋"/>
          <w:b/>
          <w:sz w:val="32"/>
          <w:szCs w:val="32"/>
        </w:rPr>
        <w:t>五、其他需要说明的问题</w:t>
      </w:r>
    </w:p>
    <w:p>
      <w:pPr>
        <w:ind w:firstLine="640" w:firstLineChars="200"/>
        <w:rPr>
          <w:rFonts w:ascii="仿宋" w:hAnsi="仿宋" w:eastAsia="仿宋" w:cs="仿宋_GB2312"/>
          <w:color w:val="000000" w:themeColor="text1"/>
          <w:sz w:val="32"/>
          <w:szCs w:val="32"/>
        </w:rPr>
      </w:pPr>
      <w:r>
        <w:rPr>
          <w:rFonts w:hint="eastAsia" w:ascii="仿宋" w:hAnsi="仿宋" w:eastAsia="仿宋" w:cs="仿宋_GB2312"/>
          <w:sz w:val="32"/>
          <w:szCs w:val="32"/>
        </w:rPr>
        <w:t>体育是一项民生工程,目前</w:t>
      </w:r>
      <w:r>
        <w:rPr>
          <w:rFonts w:ascii="仿宋" w:hAnsi="仿宋" w:eastAsia="仿宋" w:cs="仿宋_GB2312"/>
          <w:color w:val="000000" w:themeColor="text1"/>
          <w:sz w:val="32"/>
          <w:szCs w:val="32"/>
          <w:lang w:val="zh-TW" w:eastAsia="zh-TW"/>
        </w:rPr>
        <w:t>随着体育健身工程在我县的实施，场馆不足</w:t>
      </w:r>
      <w:r>
        <w:rPr>
          <w:rFonts w:hint="eastAsia" w:ascii="仿宋" w:hAnsi="仿宋" w:eastAsia="仿宋" w:cs="仿宋_GB2312"/>
          <w:color w:val="000000" w:themeColor="text1"/>
          <w:sz w:val="32"/>
          <w:szCs w:val="32"/>
          <w:lang w:val="zh-TW"/>
        </w:rPr>
        <w:t>、基础设施薄弱</w:t>
      </w:r>
      <w:r>
        <w:rPr>
          <w:rFonts w:ascii="仿宋" w:hAnsi="仿宋" w:eastAsia="仿宋" w:cs="仿宋_GB2312"/>
          <w:color w:val="000000" w:themeColor="text1"/>
          <w:sz w:val="32"/>
          <w:szCs w:val="32"/>
          <w:lang w:val="zh-TW" w:eastAsia="zh-TW"/>
        </w:rPr>
        <w:t>的矛盾得到了有效缓解，但与</w:t>
      </w:r>
      <w:r>
        <w:rPr>
          <w:rFonts w:hint="eastAsia" w:ascii="仿宋" w:hAnsi="仿宋" w:eastAsia="仿宋" w:cs="仿宋_GB2312"/>
          <w:color w:val="000000" w:themeColor="text1"/>
          <w:sz w:val="32"/>
          <w:szCs w:val="32"/>
          <w:lang w:val="zh-TW"/>
        </w:rPr>
        <w:t>体育事业</w:t>
      </w:r>
      <w:r>
        <w:rPr>
          <w:rFonts w:ascii="仿宋" w:hAnsi="仿宋" w:eastAsia="仿宋" w:cs="仿宋_GB2312"/>
          <w:color w:val="000000" w:themeColor="text1"/>
          <w:sz w:val="32"/>
          <w:szCs w:val="32"/>
          <w:lang w:val="zh-TW" w:eastAsia="zh-TW"/>
        </w:rPr>
        <w:t>发展目标和群众日益增长的高质量需求相比仍有较大差距</w:t>
      </w:r>
      <w:r>
        <w:rPr>
          <w:rFonts w:ascii="仿宋" w:hAnsi="仿宋" w:eastAsia="仿宋" w:cs="仿宋_GB2312"/>
          <w:color w:val="000000" w:themeColor="text1"/>
          <w:sz w:val="32"/>
          <w:szCs w:val="32"/>
        </w:rPr>
        <w:t>,</w:t>
      </w:r>
      <w:r>
        <w:rPr>
          <w:rFonts w:ascii="仿宋" w:hAnsi="仿宋" w:eastAsia="仿宋" w:cs="仿宋_GB2312"/>
          <w:color w:val="000000" w:themeColor="text1"/>
          <w:sz w:val="32"/>
          <w:szCs w:val="32"/>
          <w:lang w:val="zh-TW" w:eastAsia="zh-TW"/>
        </w:rPr>
        <w:t>尤其是室内大型专业活动场馆建设相对滞后，一定程度上制约了我县群众体育的健康发展。</w:t>
      </w:r>
    </w:p>
    <w:p>
      <w:pPr>
        <w:pStyle w:val="3"/>
        <w:rPr>
          <w:rFonts w:hint="eastAsia" w:ascii="仿宋" w:hAnsi="仿宋" w:eastAsia="仿宋"/>
          <w:sz w:val="32"/>
          <w:szCs w:val="32"/>
        </w:rPr>
      </w:pPr>
    </w:p>
    <w:p>
      <w:pPr>
        <w:rPr>
          <w:rFonts w:hint="eastAsia"/>
        </w:rPr>
      </w:pPr>
    </w:p>
    <w:p>
      <w:pPr>
        <w:spacing w:line="540" w:lineRule="exact"/>
        <w:ind w:firstLine="4320" w:firstLineChars="1350"/>
        <w:rPr>
          <w:rFonts w:ascii="仿宋" w:hAnsi="仿宋" w:eastAsia="仿宋"/>
          <w:sz w:val="32"/>
          <w:szCs w:val="32"/>
        </w:rPr>
      </w:pPr>
      <w:r>
        <w:rPr>
          <w:rFonts w:hint="eastAsia" w:ascii="仿宋" w:hAnsi="仿宋" w:eastAsia="仿宋"/>
          <w:sz w:val="32"/>
          <w:szCs w:val="32"/>
        </w:rPr>
        <w:t>山丹县文体广电和旅游局</w:t>
      </w:r>
    </w:p>
    <w:p>
      <w:pPr>
        <w:spacing w:line="540" w:lineRule="exact"/>
        <w:rPr>
          <w:rFonts w:ascii="仿宋" w:hAnsi="仿宋" w:eastAsia="仿宋"/>
          <w:sz w:val="32"/>
          <w:szCs w:val="32"/>
        </w:rPr>
      </w:pPr>
      <w:r>
        <w:rPr>
          <w:rFonts w:hint="eastAsia" w:ascii="仿宋" w:hAnsi="仿宋" w:eastAsia="仿宋"/>
          <w:sz w:val="32"/>
          <w:szCs w:val="32"/>
        </w:rPr>
        <w:t xml:space="preserve">                               202</w:t>
      </w:r>
      <w:r>
        <w:rPr>
          <w:rFonts w:hint="eastAsia" w:ascii="仿宋" w:hAnsi="仿宋" w:eastAsia="仿宋"/>
          <w:sz w:val="32"/>
          <w:szCs w:val="32"/>
          <w:lang w:val="en-US" w:eastAsia="zh-CN"/>
        </w:rPr>
        <w:t>3</w:t>
      </w:r>
      <w:r>
        <w:rPr>
          <w:rFonts w:hint="eastAsia" w:ascii="仿宋" w:hAnsi="仿宋" w:eastAsia="仿宋"/>
          <w:sz w:val="32"/>
          <w:szCs w:val="32"/>
        </w:rPr>
        <w:t>年1</w:t>
      </w:r>
      <w:r>
        <w:rPr>
          <w:rFonts w:hint="eastAsia" w:ascii="仿宋" w:hAnsi="仿宋" w:eastAsia="仿宋"/>
          <w:sz w:val="32"/>
          <w:szCs w:val="32"/>
          <w:lang w:val="en-US" w:eastAsia="zh-CN"/>
        </w:rPr>
        <w:t>2</w:t>
      </w:r>
      <w:r>
        <w:rPr>
          <w:rFonts w:hint="eastAsia" w:ascii="仿宋" w:hAnsi="仿宋" w:eastAsia="仿宋"/>
          <w:sz w:val="32"/>
          <w:szCs w:val="32"/>
        </w:rPr>
        <w:t>月2</w:t>
      </w:r>
      <w:r>
        <w:rPr>
          <w:rFonts w:hint="eastAsia" w:ascii="仿宋" w:hAnsi="仿宋" w:eastAsia="仿宋"/>
          <w:sz w:val="32"/>
          <w:szCs w:val="32"/>
          <w:lang w:val="en-US" w:eastAsia="zh-CN"/>
        </w:rPr>
        <w:t>0</w:t>
      </w:r>
      <w:r>
        <w:rPr>
          <w:rFonts w:hint="eastAsia" w:ascii="仿宋" w:hAnsi="仿宋" w:eastAsia="仿宋"/>
          <w:sz w:val="32"/>
          <w:szCs w:val="32"/>
        </w:rPr>
        <w:t>日</w:t>
      </w: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80" w:lineRule="exact"/>
        <w:rPr>
          <w:rFonts w:ascii="仿宋" w:hAnsi="仿宋" w:eastAsia="仿宋"/>
          <w:color w:val="000000"/>
          <w:sz w:val="11"/>
          <w:szCs w:val="11"/>
        </w:rPr>
      </w:pPr>
    </w:p>
    <w:p>
      <w:pPr>
        <w:spacing w:line="580" w:lineRule="exact"/>
        <w:jc w:val="left"/>
      </w:pPr>
      <w:bookmarkStart w:id="0" w:name="_GoBack"/>
      <w:bookmarkEnd w:id="0"/>
    </w:p>
    <w:sectPr>
      <w:footerReference r:id="rId3" w:type="default"/>
      <w:footerReference r:id="rId4" w:type="even"/>
      <w:pgSz w:w="11906" w:h="16838"/>
      <w:pgMar w:top="2098" w:right="1474" w:bottom="1984" w:left="1587" w:header="737" w:footer="85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1035" w:h="774" w:hRule="exact" w:wrap="around" w:vAnchor="text" w:hAnchor="page" w:x="5432" w:y="-644"/>
      <w:jc w:val="center"/>
      <w:rPr>
        <w:rStyle w:val="8"/>
        <w:rFonts w:ascii="宋体"/>
        <w:sz w:val="28"/>
        <w:szCs w:val="28"/>
      </w:rPr>
    </w:pPr>
    <w:r>
      <w:rPr>
        <w:rStyle w:val="8"/>
        <w:rFonts w:ascii="宋体" w:hAnsi="宋体"/>
        <w:sz w:val="28"/>
        <w:szCs w:val="28"/>
      </w:rPr>
      <w:t xml:space="preserve">— </w:t>
    </w:r>
    <w:r>
      <w:rPr>
        <w:rFonts w:ascii="宋体" w:hAnsi="宋体"/>
        <w:sz w:val="28"/>
        <w:szCs w:val="28"/>
      </w:rPr>
      <w:fldChar w:fldCharType="begin"/>
    </w:r>
    <w:r>
      <w:rPr>
        <w:rStyle w:val="8"/>
        <w:rFonts w:ascii="宋体" w:hAnsi="宋体"/>
        <w:sz w:val="28"/>
        <w:szCs w:val="28"/>
      </w:rPr>
      <w:instrText xml:space="preserve">PAGE  </w:instrText>
    </w:r>
    <w:r>
      <w:rPr>
        <w:rFonts w:ascii="宋体" w:hAnsi="宋体"/>
        <w:sz w:val="28"/>
        <w:szCs w:val="28"/>
      </w:rPr>
      <w:fldChar w:fldCharType="separate"/>
    </w:r>
    <w:r>
      <w:rPr>
        <w:rStyle w:val="8"/>
        <w:rFonts w:ascii="宋体" w:hAnsi="宋体"/>
        <w:sz w:val="28"/>
        <w:szCs w:val="28"/>
      </w:rPr>
      <w:t>7</w:t>
    </w:r>
    <w:r>
      <w:rPr>
        <w:rFonts w:ascii="宋体" w:hAnsi="宋体"/>
        <w:sz w:val="28"/>
        <w:szCs w:val="28"/>
      </w:rPr>
      <w:fldChar w:fldCharType="end"/>
    </w:r>
    <w:r>
      <w:rPr>
        <w:rStyle w:val="8"/>
        <w:rFonts w:ascii="宋体" w:hAnsi="宋体"/>
        <w:sz w:val="28"/>
        <w:szCs w:val="28"/>
      </w:rPr>
      <w:t xml:space="preserve"> —</w: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Pr>
    </w:pPr>
    <w:r>
      <w:fldChar w:fldCharType="begin"/>
    </w:r>
    <w:r>
      <w:rPr>
        <w:rStyle w:val="8"/>
      </w:rPr>
      <w:instrText xml:space="preserve">PAGE  </w:instrText>
    </w:r>
    <w: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C77F90"/>
    <w:multiLevelType w:val="singleLevel"/>
    <w:tmpl w:val="C4C77F9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jYyYmY4ZjhjYWU4M2YwNDMwNWFlNmRmOWJkNzQyYzIifQ=="/>
  </w:docVars>
  <w:rsids>
    <w:rsidRoot w:val="00F272C8"/>
    <w:rsid w:val="0004053A"/>
    <w:rsid w:val="001044E8"/>
    <w:rsid w:val="001B019F"/>
    <w:rsid w:val="001E2F27"/>
    <w:rsid w:val="003E0D32"/>
    <w:rsid w:val="00742BEB"/>
    <w:rsid w:val="007D50A5"/>
    <w:rsid w:val="00875DBA"/>
    <w:rsid w:val="008E5760"/>
    <w:rsid w:val="00AC7E6F"/>
    <w:rsid w:val="00C430D9"/>
    <w:rsid w:val="00F272C8"/>
    <w:rsid w:val="011306B1"/>
    <w:rsid w:val="01394892"/>
    <w:rsid w:val="0252013B"/>
    <w:rsid w:val="02536701"/>
    <w:rsid w:val="0278085C"/>
    <w:rsid w:val="02A824AD"/>
    <w:rsid w:val="033F01B7"/>
    <w:rsid w:val="03457642"/>
    <w:rsid w:val="038325D2"/>
    <w:rsid w:val="038A5D47"/>
    <w:rsid w:val="03DE7BD3"/>
    <w:rsid w:val="03E219EE"/>
    <w:rsid w:val="04A9153F"/>
    <w:rsid w:val="04C35E7C"/>
    <w:rsid w:val="04F2633C"/>
    <w:rsid w:val="05025C38"/>
    <w:rsid w:val="0550109A"/>
    <w:rsid w:val="055B128E"/>
    <w:rsid w:val="055B54F4"/>
    <w:rsid w:val="059524A3"/>
    <w:rsid w:val="05C313AC"/>
    <w:rsid w:val="05F13762"/>
    <w:rsid w:val="064326E2"/>
    <w:rsid w:val="064673A3"/>
    <w:rsid w:val="06665550"/>
    <w:rsid w:val="06927A30"/>
    <w:rsid w:val="06AD2961"/>
    <w:rsid w:val="070922E1"/>
    <w:rsid w:val="07391925"/>
    <w:rsid w:val="07A73B6A"/>
    <w:rsid w:val="082C1F64"/>
    <w:rsid w:val="08433491"/>
    <w:rsid w:val="08A33386"/>
    <w:rsid w:val="08EB30F3"/>
    <w:rsid w:val="090221EB"/>
    <w:rsid w:val="097251F0"/>
    <w:rsid w:val="0A222844"/>
    <w:rsid w:val="0AA7304A"/>
    <w:rsid w:val="0AE8406A"/>
    <w:rsid w:val="0B330D82"/>
    <w:rsid w:val="0B7C0DD5"/>
    <w:rsid w:val="0C031B6A"/>
    <w:rsid w:val="0C0E1ADA"/>
    <w:rsid w:val="0C12654C"/>
    <w:rsid w:val="0C2F42BE"/>
    <w:rsid w:val="0C6F1DEA"/>
    <w:rsid w:val="0D2B3329"/>
    <w:rsid w:val="0D347507"/>
    <w:rsid w:val="0D607C5D"/>
    <w:rsid w:val="0D612BE4"/>
    <w:rsid w:val="0DC3531D"/>
    <w:rsid w:val="0DFB178E"/>
    <w:rsid w:val="0E273E46"/>
    <w:rsid w:val="0EB93120"/>
    <w:rsid w:val="0EF9573F"/>
    <w:rsid w:val="0FEF456D"/>
    <w:rsid w:val="0FFA07FB"/>
    <w:rsid w:val="10373261"/>
    <w:rsid w:val="103A226A"/>
    <w:rsid w:val="10461AEB"/>
    <w:rsid w:val="10601025"/>
    <w:rsid w:val="10E03AC7"/>
    <w:rsid w:val="114F61E9"/>
    <w:rsid w:val="116112B9"/>
    <w:rsid w:val="11D151A1"/>
    <w:rsid w:val="11F73DB4"/>
    <w:rsid w:val="1219682B"/>
    <w:rsid w:val="12AD233A"/>
    <w:rsid w:val="12BD2E2B"/>
    <w:rsid w:val="12C36B97"/>
    <w:rsid w:val="12EF2651"/>
    <w:rsid w:val="13195AC8"/>
    <w:rsid w:val="13810052"/>
    <w:rsid w:val="13E83022"/>
    <w:rsid w:val="13EC31D1"/>
    <w:rsid w:val="13F03E60"/>
    <w:rsid w:val="15407F46"/>
    <w:rsid w:val="15621409"/>
    <w:rsid w:val="15891CCA"/>
    <w:rsid w:val="15D62A35"/>
    <w:rsid w:val="162D0DBC"/>
    <w:rsid w:val="16723D8C"/>
    <w:rsid w:val="16EC74B0"/>
    <w:rsid w:val="17142590"/>
    <w:rsid w:val="17284836"/>
    <w:rsid w:val="178F241B"/>
    <w:rsid w:val="17B03CFD"/>
    <w:rsid w:val="17DC25FE"/>
    <w:rsid w:val="17F94ACC"/>
    <w:rsid w:val="18C1615F"/>
    <w:rsid w:val="18D86D3F"/>
    <w:rsid w:val="1945686D"/>
    <w:rsid w:val="199918C1"/>
    <w:rsid w:val="19B7430E"/>
    <w:rsid w:val="1A3634B6"/>
    <w:rsid w:val="1A657A59"/>
    <w:rsid w:val="1A720280"/>
    <w:rsid w:val="1A9917BD"/>
    <w:rsid w:val="1AB26C56"/>
    <w:rsid w:val="1C454471"/>
    <w:rsid w:val="1C6C3851"/>
    <w:rsid w:val="1CD00EA8"/>
    <w:rsid w:val="1D602E2D"/>
    <w:rsid w:val="1D7021BA"/>
    <w:rsid w:val="1DFB1D6E"/>
    <w:rsid w:val="1E7A7673"/>
    <w:rsid w:val="1EBB4C83"/>
    <w:rsid w:val="1ED55E06"/>
    <w:rsid w:val="1EFB3EC1"/>
    <w:rsid w:val="1F677978"/>
    <w:rsid w:val="1F8C69E8"/>
    <w:rsid w:val="1FDD638F"/>
    <w:rsid w:val="1FF83B27"/>
    <w:rsid w:val="20443BE6"/>
    <w:rsid w:val="206B619B"/>
    <w:rsid w:val="20FF5CAE"/>
    <w:rsid w:val="213E6C4F"/>
    <w:rsid w:val="21D851A7"/>
    <w:rsid w:val="222B4109"/>
    <w:rsid w:val="224779F3"/>
    <w:rsid w:val="22984325"/>
    <w:rsid w:val="23356FED"/>
    <w:rsid w:val="23441DBB"/>
    <w:rsid w:val="23C00953"/>
    <w:rsid w:val="23C12A90"/>
    <w:rsid w:val="240F5A90"/>
    <w:rsid w:val="24C13397"/>
    <w:rsid w:val="25092BE9"/>
    <w:rsid w:val="252065D9"/>
    <w:rsid w:val="252441A4"/>
    <w:rsid w:val="258A75AB"/>
    <w:rsid w:val="25925AA8"/>
    <w:rsid w:val="25BC5747"/>
    <w:rsid w:val="269D03B9"/>
    <w:rsid w:val="27417E7F"/>
    <w:rsid w:val="274C2EBF"/>
    <w:rsid w:val="27582AAA"/>
    <w:rsid w:val="277D1FD8"/>
    <w:rsid w:val="279A47AE"/>
    <w:rsid w:val="279D7665"/>
    <w:rsid w:val="280972AF"/>
    <w:rsid w:val="28492D32"/>
    <w:rsid w:val="28740FE3"/>
    <w:rsid w:val="28D97BE9"/>
    <w:rsid w:val="28F75104"/>
    <w:rsid w:val="2904768C"/>
    <w:rsid w:val="291A75CC"/>
    <w:rsid w:val="296626F5"/>
    <w:rsid w:val="2AA10EDE"/>
    <w:rsid w:val="2AF94849"/>
    <w:rsid w:val="2AFB4378"/>
    <w:rsid w:val="2B1943E7"/>
    <w:rsid w:val="2B1E4F64"/>
    <w:rsid w:val="2B734B48"/>
    <w:rsid w:val="2B76644C"/>
    <w:rsid w:val="2BBB474F"/>
    <w:rsid w:val="2BE00D1E"/>
    <w:rsid w:val="2BEB5055"/>
    <w:rsid w:val="2BF653D6"/>
    <w:rsid w:val="2C0E364F"/>
    <w:rsid w:val="2C3C1CEE"/>
    <w:rsid w:val="2C4E4292"/>
    <w:rsid w:val="2CB84E84"/>
    <w:rsid w:val="2CDA5393"/>
    <w:rsid w:val="2CDC3D8D"/>
    <w:rsid w:val="2CDD4EFA"/>
    <w:rsid w:val="2CFC1655"/>
    <w:rsid w:val="2E0F6D21"/>
    <w:rsid w:val="2E910B1E"/>
    <w:rsid w:val="2EAE3161"/>
    <w:rsid w:val="2EF4415B"/>
    <w:rsid w:val="2F15691B"/>
    <w:rsid w:val="2F5E30DE"/>
    <w:rsid w:val="31833619"/>
    <w:rsid w:val="31D8182F"/>
    <w:rsid w:val="31E12608"/>
    <w:rsid w:val="32260419"/>
    <w:rsid w:val="32A84615"/>
    <w:rsid w:val="32F100D6"/>
    <w:rsid w:val="33347E33"/>
    <w:rsid w:val="336C4E25"/>
    <w:rsid w:val="337C2A16"/>
    <w:rsid w:val="33810AC7"/>
    <w:rsid w:val="338624AA"/>
    <w:rsid w:val="33AA00E2"/>
    <w:rsid w:val="34352A38"/>
    <w:rsid w:val="3454716E"/>
    <w:rsid w:val="346113DD"/>
    <w:rsid w:val="34765E2C"/>
    <w:rsid w:val="34F62354"/>
    <w:rsid w:val="352E533C"/>
    <w:rsid w:val="35B14B13"/>
    <w:rsid w:val="36494667"/>
    <w:rsid w:val="366F1FB3"/>
    <w:rsid w:val="367C4A0D"/>
    <w:rsid w:val="36AB5964"/>
    <w:rsid w:val="36CC017C"/>
    <w:rsid w:val="36FF4DAA"/>
    <w:rsid w:val="37741E64"/>
    <w:rsid w:val="386203EE"/>
    <w:rsid w:val="38C45B53"/>
    <w:rsid w:val="39094D4C"/>
    <w:rsid w:val="39236EFD"/>
    <w:rsid w:val="39686BF9"/>
    <w:rsid w:val="3976711C"/>
    <w:rsid w:val="3A111C64"/>
    <w:rsid w:val="3A3538EC"/>
    <w:rsid w:val="3A64587F"/>
    <w:rsid w:val="3A9B7549"/>
    <w:rsid w:val="3AF12DDC"/>
    <w:rsid w:val="3BE47AB5"/>
    <w:rsid w:val="3C5D25BE"/>
    <w:rsid w:val="3C9A53DF"/>
    <w:rsid w:val="3CB13438"/>
    <w:rsid w:val="3CE42FA1"/>
    <w:rsid w:val="3D06112B"/>
    <w:rsid w:val="3D402184"/>
    <w:rsid w:val="3D821D54"/>
    <w:rsid w:val="3DB53521"/>
    <w:rsid w:val="3DDE2D4B"/>
    <w:rsid w:val="3DEF1BCE"/>
    <w:rsid w:val="3DF05797"/>
    <w:rsid w:val="3EAE35DD"/>
    <w:rsid w:val="3F510BCB"/>
    <w:rsid w:val="3FB00447"/>
    <w:rsid w:val="3FC512A1"/>
    <w:rsid w:val="40771707"/>
    <w:rsid w:val="40CD665F"/>
    <w:rsid w:val="41570C59"/>
    <w:rsid w:val="41782A6F"/>
    <w:rsid w:val="41A47509"/>
    <w:rsid w:val="41A97F0C"/>
    <w:rsid w:val="41AC5826"/>
    <w:rsid w:val="41EB6B9A"/>
    <w:rsid w:val="42462B6D"/>
    <w:rsid w:val="42663905"/>
    <w:rsid w:val="42672AE3"/>
    <w:rsid w:val="42734623"/>
    <w:rsid w:val="428F5EB9"/>
    <w:rsid w:val="43042127"/>
    <w:rsid w:val="43A65966"/>
    <w:rsid w:val="43E043D9"/>
    <w:rsid w:val="443106F4"/>
    <w:rsid w:val="443D58AA"/>
    <w:rsid w:val="44DA2444"/>
    <w:rsid w:val="450904A5"/>
    <w:rsid w:val="451C1963"/>
    <w:rsid w:val="454E0CC0"/>
    <w:rsid w:val="4550267A"/>
    <w:rsid w:val="45A73B4F"/>
    <w:rsid w:val="45E22BA9"/>
    <w:rsid w:val="46064BEA"/>
    <w:rsid w:val="461521E5"/>
    <w:rsid w:val="46603F91"/>
    <w:rsid w:val="468457C4"/>
    <w:rsid w:val="468536AB"/>
    <w:rsid w:val="469A62E0"/>
    <w:rsid w:val="46A9191C"/>
    <w:rsid w:val="46DA4B02"/>
    <w:rsid w:val="47091554"/>
    <w:rsid w:val="4746176E"/>
    <w:rsid w:val="477E1E56"/>
    <w:rsid w:val="47EB1D0E"/>
    <w:rsid w:val="481B2A10"/>
    <w:rsid w:val="482762F9"/>
    <w:rsid w:val="4853093C"/>
    <w:rsid w:val="48963D00"/>
    <w:rsid w:val="48C53351"/>
    <w:rsid w:val="49221512"/>
    <w:rsid w:val="497004D0"/>
    <w:rsid w:val="49DB08AA"/>
    <w:rsid w:val="4A716053"/>
    <w:rsid w:val="4B0834E4"/>
    <w:rsid w:val="4B685902"/>
    <w:rsid w:val="4C1B0BC7"/>
    <w:rsid w:val="4C740D70"/>
    <w:rsid w:val="4C773265"/>
    <w:rsid w:val="4C8A2FFB"/>
    <w:rsid w:val="4C8B7132"/>
    <w:rsid w:val="4C9C7AC9"/>
    <w:rsid w:val="4CE21817"/>
    <w:rsid w:val="4D37270F"/>
    <w:rsid w:val="4D3A4936"/>
    <w:rsid w:val="4D897DB2"/>
    <w:rsid w:val="4D911EF0"/>
    <w:rsid w:val="4D9E1CE4"/>
    <w:rsid w:val="4DCA143E"/>
    <w:rsid w:val="4E3A7FE2"/>
    <w:rsid w:val="4E663C87"/>
    <w:rsid w:val="4E7C5BDF"/>
    <w:rsid w:val="4EFA166F"/>
    <w:rsid w:val="50EF5CB9"/>
    <w:rsid w:val="51077140"/>
    <w:rsid w:val="512F6EC2"/>
    <w:rsid w:val="518F09F4"/>
    <w:rsid w:val="51F567AF"/>
    <w:rsid w:val="51F94C59"/>
    <w:rsid w:val="53AD0BD0"/>
    <w:rsid w:val="543309F3"/>
    <w:rsid w:val="54427E8A"/>
    <w:rsid w:val="54982B2A"/>
    <w:rsid w:val="54AE00FE"/>
    <w:rsid w:val="54FB77E7"/>
    <w:rsid w:val="557A5A71"/>
    <w:rsid w:val="557D02F5"/>
    <w:rsid w:val="561E1810"/>
    <w:rsid w:val="56D025AE"/>
    <w:rsid w:val="56D63845"/>
    <w:rsid w:val="575C09BC"/>
    <w:rsid w:val="575C2093"/>
    <w:rsid w:val="575C3193"/>
    <w:rsid w:val="580E0850"/>
    <w:rsid w:val="583945D6"/>
    <w:rsid w:val="584613FB"/>
    <w:rsid w:val="5A5A6D5E"/>
    <w:rsid w:val="5A837F9A"/>
    <w:rsid w:val="5AA96ABD"/>
    <w:rsid w:val="5AAF27A5"/>
    <w:rsid w:val="5AC60355"/>
    <w:rsid w:val="5AD117D7"/>
    <w:rsid w:val="5B1C2DAE"/>
    <w:rsid w:val="5B8B6988"/>
    <w:rsid w:val="5C00191C"/>
    <w:rsid w:val="5C1B438C"/>
    <w:rsid w:val="5C3E66E2"/>
    <w:rsid w:val="5C69583F"/>
    <w:rsid w:val="5C943D2C"/>
    <w:rsid w:val="5C9920A0"/>
    <w:rsid w:val="5CB32755"/>
    <w:rsid w:val="5CC03E5E"/>
    <w:rsid w:val="5D434385"/>
    <w:rsid w:val="5D4F51DF"/>
    <w:rsid w:val="5D547390"/>
    <w:rsid w:val="5D61268A"/>
    <w:rsid w:val="5D751966"/>
    <w:rsid w:val="5D7F2AAE"/>
    <w:rsid w:val="5DFC012C"/>
    <w:rsid w:val="5E565A8E"/>
    <w:rsid w:val="5E84473D"/>
    <w:rsid w:val="5EE16548"/>
    <w:rsid w:val="5EFD51AE"/>
    <w:rsid w:val="5F570DC7"/>
    <w:rsid w:val="5F963648"/>
    <w:rsid w:val="60055CEC"/>
    <w:rsid w:val="600D6432"/>
    <w:rsid w:val="60200738"/>
    <w:rsid w:val="606868C9"/>
    <w:rsid w:val="607E751E"/>
    <w:rsid w:val="60B66ADC"/>
    <w:rsid w:val="61097813"/>
    <w:rsid w:val="61BA4419"/>
    <w:rsid w:val="6218159B"/>
    <w:rsid w:val="62A03506"/>
    <w:rsid w:val="63273F8C"/>
    <w:rsid w:val="63574669"/>
    <w:rsid w:val="637C5D8F"/>
    <w:rsid w:val="63C33BC6"/>
    <w:rsid w:val="64003E39"/>
    <w:rsid w:val="64A77C31"/>
    <w:rsid w:val="64CC26CC"/>
    <w:rsid w:val="64F30FB7"/>
    <w:rsid w:val="65047BD7"/>
    <w:rsid w:val="65711400"/>
    <w:rsid w:val="65A07637"/>
    <w:rsid w:val="660D4F6C"/>
    <w:rsid w:val="661A3845"/>
    <w:rsid w:val="661F248F"/>
    <w:rsid w:val="66FD5129"/>
    <w:rsid w:val="67472418"/>
    <w:rsid w:val="674A5EE5"/>
    <w:rsid w:val="677A430F"/>
    <w:rsid w:val="67B74FB0"/>
    <w:rsid w:val="67C51194"/>
    <w:rsid w:val="683F5F1A"/>
    <w:rsid w:val="68945B31"/>
    <w:rsid w:val="68A60EA9"/>
    <w:rsid w:val="69247BFC"/>
    <w:rsid w:val="694B76C5"/>
    <w:rsid w:val="6A14303F"/>
    <w:rsid w:val="6AF51577"/>
    <w:rsid w:val="6B9205A2"/>
    <w:rsid w:val="6BB61CE9"/>
    <w:rsid w:val="6C067725"/>
    <w:rsid w:val="6C4914B0"/>
    <w:rsid w:val="6C4A261C"/>
    <w:rsid w:val="6D097A81"/>
    <w:rsid w:val="6DB3333B"/>
    <w:rsid w:val="6DD52069"/>
    <w:rsid w:val="6F1B29C7"/>
    <w:rsid w:val="6F4B5DD2"/>
    <w:rsid w:val="6FED3D79"/>
    <w:rsid w:val="70816B80"/>
    <w:rsid w:val="70BD1DAD"/>
    <w:rsid w:val="713733D2"/>
    <w:rsid w:val="71570310"/>
    <w:rsid w:val="716B0258"/>
    <w:rsid w:val="71821822"/>
    <w:rsid w:val="71B14FA3"/>
    <w:rsid w:val="71E2215B"/>
    <w:rsid w:val="725A0A3B"/>
    <w:rsid w:val="7289063E"/>
    <w:rsid w:val="729C51D7"/>
    <w:rsid w:val="72C04E9A"/>
    <w:rsid w:val="72FA0121"/>
    <w:rsid w:val="73654EFD"/>
    <w:rsid w:val="73BE283B"/>
    <w:rsid w:val="73D15446"/>
    <w:rsid w:val="74006242"/>
    <w:rsid w:val="74026CD0"/>
    <w:rsid w:val="74084B18"/>
    <w:rsid w:val="743C29A5"/>
    <w:rsid w:val="74D6127F"/>
    <w:rsid w:val="74FA58D5"/>
    <w:rsid w:val="756E3E52"/>
    <w:rsid w:val="75B72509"/>
    <w:rsid w:val="75D02C13"/>
    <w:rsid w:val="76913155"/>
    <w:rsid w:val="77634EA3"/>
    <w:rsid w:val="77B7166E"/>
    <w:rsid w:val="77CE3F2B"/>
    <w:rsid w:val="77DF669D"/>
    <w:rsid w:val="78025100"/>
    <w:rsid w:val="78125664"/>
    <w:rsid w:val="782B18E2"/>
    <w:rsid w:val="78DA78C2"/>
    <w:rsid w:val="78EC1071"/>
    <w:rsid w:val="78FB3F26"/>
    <w:rsid w:val="791D0188"/>
    <w:rsid w:val="792425B9"/>
    <w:rsid w:val="795931D0"/>
    <w:rsid w:val="7BB54560"/>
    <w:rsid w:val="7C362056"/>
    <w:rsid w:val="7C916F2D"/>
    <w:rsid w:val="7CA312C4"/>
    <w:rsid w:val="7CB60F13"/>
    <w:rsid w:val="7CDC4319"/>
    <w:rsid w:val="7CDF6E9B"/>
    <w:rsid w:val="7CE20CAC"/>
    <w:rsid w:val="7D0D4C5A"/>
    <w:rsid w:val="7D991754"/>
    <w:rsid w:val="7DF64FE0"/>
    <w:rsid w:val="7E3346D3"/>
    <w:rsid w:val="7E46118B"/>
    <w:rsid w:val="7E464D80"/>
    <w:rsid w:val="7E5F37C8"/>
    <w:rsid w:val="7EDA300F"/>
    <w:rsid w:val="7F21759B"/>
    <w:rsid w:val="7F2E4CFC"/>
    <w:rsid w:val="7F406C86"/>
    <w:rsid w:val="7F532BED"/>
    <w:rsid w:val="7F560C6F"/>
    <w:rsid w:val="7F934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iPriority="99" w:semiHidden="0"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3"/>
    <w:basedOn w:val="1"/>
    <w:next w:val="1"/>
    <w:link w:val="11"/>
    <w:autoRedefine/>
    <w:qFormat/>
    <w:uiPriority w:val="0"/>
    <w:pPr>
      <w:keepNext/>
      <w:keepLines/>
      <w:spacing w:before="260" w:after="260" w:line="416" w:lineRule="auto"/>
      <w:outlineLvl w:val="2"/>
    </w:pPr>
    <w:rPr>
      <w:b/>
      <w:bCs/>
      <w:kern w:val="0"/>
      <w:sz w:val="32"/>
      <w:szCs w:val="32"/>
    </w:rPr>
  </w:style>
  <w:style w:type="character" w:default="1" w:styleId="7">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index 6"/>
    <w:basedOn w:val="1"/>
    <w:next w:val="1"/>
    <w:unhideWhenUsed/>
    <w:qFormat/>
    <w:uiPriority w:val="99"/>
    <w:pPr>
      <w:spacing w:line="520" w:lineRule="exact"/>
      <w:jc w:val="left"/>
    </w:pPr>
  </w:style>
  <w:style w:type="paragraph" w:styleId="4">
    <w:name w:val="Balloon Text"/>
    <w:basedOn w:val="1"/>
    <w:link w:val="10"/>
    <w:semiHidden/>
    <w:unhideWhenUsed/>
    <w:qFormat/>
    <w:uiPriority w:val="99"/>
    <w:rPr>
      <w:sz w:val="18"/>
      <w:szCs w:val="18"/>
    </w:rPr>
  </w:style>
  <w:style w:type="paragraph" w:styleId="5">
    <w:name w:val="footer"/>
    <w:basedOn w:val="1"/>
    <w:link w:val="9"/>
    <w:qFormat/>
    <w:uiPriority w:val="0"/>
    <w:pPr>
      <w:tabs>
        <w:tab w:val="center" w:pos="4153"/>
        <w:tab w:val="right" w:pos="8306"/>
      </w:tabs>
      <w:snapToGrid w:val="0"/>
      <w:jc w:val="left"/>
    </w:pPr>
    <w:rPr>
      <w:rFonts w:eastAsia="宋体"/>
      <w:sz w:val="18"/>
      <w:szCs w:val="18"/>
    </w:rPr>
  </w:style>
  <w:style w:type="character" w:styleId="8">
    <w:name w:val="page number"/>
    <w:basedOn w:val="7"/>
    <w:qFormat/>
    <w:uiPriority w:val="0"/>
  </w:style>
  <w:style w:type="character" w:customStyle="1" w:styleId="9">
    <w:name w:val="页脚 Char"/>
    <w:basedOn w:val="7"/>
    <w:link w:val="5"/>
    <w:autoRedefine/>
    <w:qFormat/>
    <w:uiPriority w:val="0"/>
    <w:rPr>
      <w:rFonts w:ascii="Times New Roman" w:hAnsi="Times New Roman" w:eastAsia="宋体" w:cs="Times New Roman"/>
      <w:sz w:val="18"/>
      <w:szCs w:val="18"/>
    </w:rPr>
  </w:style>
  <w:style w:type="character" w:customStyle="1" w:styleId="10">
    <w:name w:val="批注框文本 Char"/>
    <w:basedOn w:val="7"/>
    <w:link w:val="4"/>
    <w:semiHidden/>
    <w:qFormat/>
    <w:uiPriority w:val="99"/>
    <w:rPr>
      <w:rFonts w:ascii="Times New Roman" w:hAnsi="Times New Roman" w:eastAsia="仿宋_GB2312" w:cs="Times New Roman"/>
      <w:sz w:val="18"/>
      <w:szCs w:val="18"/>
    </w:rPr>
  </w:style>
  <w:style w:type="character" w:customStyle="1" w:styleId="11">
    <w:name w:val="标题 3 Char"/>
    <w:basedOn w:val="7"/>
    <w:link w:val="2"/>
    <w:qFormat/>
    <w:uiPriority w:val="0"/>
    <w:rPr>
      <w:b/>
      <w:bCs/>
      <w:kern w:val="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422</Words>
  <Characters>2411</Characters>
  <Lines>20</Lines>
  <Paragraphs>5</Paragraphs>
  <TotalTime>0</TotalTime>
  <ScaleCrop>false</ScaleCrop>
  <LinksUpToDate>false</LinksUpToDate>
  <CharactersWithSpaces>2828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2020-03-19T07:33:00Z</dcterms:created>
  <dc:creator>lenovo</dc:creator>
  <cp:lastModifiedBy>Healer</cp:lastModifiedBy>
  <cp:lastPrinted>2020-03-19T07:33:00Z</cp:lastPrinted>
  <dcterms:modified xsi:type="dcterms:W3CDTF">2024-01-04T10:06:45Z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1BEFA851142F43808B55AE50AD5152E2</vt:lpwstr>
  </property>
</Properties>
</file>