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1EA245">
      <w:pPr>
        <w:rPr>
          <w:rFonts w:ascii="仿宋_GB2312" w:eastAsia="仿宋_GB2312"/>
          <w:sz w:val="32"/>
          <w:szCs w:val="32"/>
        </w:rPr>
      </w:pPr>
    </w:p>
    <w:p w14:paraId="10096ED5">
      <w:pPr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山丹县文体广电和旅游局</w:t>
      </w:r>
    </w:p>
    <w:p w14:paraId="45F67E56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</w:t>
      </w:r>
      <w:r>
        <w:rPr>
          <w:rFonts w:ascii="方正小标宋简体" w:eastAsia="方正小标宋简体"/>
          <w:sz w:val="40"/>
          <w:szCs w:val="40"/>
        </w:rPr>
        <w:t>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年部门整体支出绩效自评报告</w:t>
      </w:r>
    </w:p>
    <w:p w14:paraId="4C8BD65A"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 w14:paraId="71673AA8">
      <w:pPr>
        <w:spacing w:line="560" w:lineRule="exact"/>
        <w:ind w:firstLine="643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（一）基本情况</w:t>
      </w:r>
    </w:p>
    <w:p w14:paraId="7F5DE940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1.单位基本情况</w:t>
      </w:r>
    </w:p>
    <w:p w14:paraId="722BC68F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丹县文体广电和旅游局为山丹县人民政府工作部门，正科级，加挂山丹县文物局牌子。下设事业单位9个，县文化市场综合行政执法队与县文体广电和旅游局实行“局队合一体制”为全额拨款事业单位，正科级建制；县文化旅游产业发展中心为全额拨款事业单位，正科级建制；县汉明长城保护研究中心为全额拨款事业单位，正科级建制；县体育运动中心为全额拨款事业单位，正科级建制；县文化馆为全额拨款事业单位，副科级建制；县博物馆为全额拨款事业单位，副科级建制；县图书馆为全额拨款事业单位，副科级建制。县瞭高山微波台为全额拨款事业单位，股级建制；县地方文化创研室加挂“山丹县美术馆”牌子，实行“两块牌子，一套人马”管理体制，为全额拨款事业单位，股级建制。</w:t>
      </w:r>
    </w:p>
    <w:p w14:paraId="2B25B060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2.单位职能职责</w:t>
      </w:r>
    </w:p>
    <w:p w14:paraId="2D7D6B2C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共张掖市委办公室、张掖市人民政府办公室关于印发〈山丹县机构改革方案〉的通知》(市委办字〔2019〕6号)和《中共山丹县委办公室、山丹县人民政府办公室印发关于贯彻落实〈山丹县机构改革方案〉的实施意见》(县委办发〔2019〕4号)，以及我局三定方案，县文体广旅局贯彻落实党中央和省、市、县委关于文化、体育、广电和旅游工作的方针政策和决策部署，在履行职责过程中坚持和加强党对文化、体育、广电和旅游工作的集中统一领导。主要职责是：</w:t>
      </w:r>
    </w:p>
    <w:p w14:paraId="4B357040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（一）贯彻落实党和国家关于文化、体育、广电、旅游、文物等方面的方针政策，拟订相应的政策措施，建立行之有效的规章制度。</w:t>
      </w:r>
    </w:p>
    <w:p w14:paraId="06262986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统筹规划全县文化旅游产业和文化、体育、广电事业发展，编制并组织实施本行业的年度计划。负责全县文化、体育、广电、旅游、文物的行业管理，推进全县文化、旅游、体育产业发展，推进全县文化、体育、广电、旅游领域体制机制改革。</w:t>
      </w:r>
    </w:p>
    <w:p w14:paraId="59928C6B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统筹管理全县性重大文化、体育和旅游活动,推动地方特色文化发展。统筹协调全县重大文艺展演、体育比赛和文化旅游节会活动。组织全县文化旅游整体形象推广，促进全县文化旅游对外交流合作和宣传推广工作。</w:t>
      </w:r>
    </w:p>
    <w:p w14:paraId="47562581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（四）指导、管理全县文艺事业。指导全县艺术创作生产，扶持体现社会主义核心价值观、具有导向性代表性示范性的文艺作品，推动全县各门类艺术、各艺术品种发展。</w:t>
      </w:r>
    </w:p>
    <w:p w14:paraId="21380761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（五）负责全县公共文化事业发展，推进全县公共文化服务体系和旅游公共服务体系建设，深入实施文化惠民工程，统筹推进全县基本公共文化服务标准化、均等化。</w:t>
      </w:r>
    </w:p>
    <w:p w14:paraId="3C4F4399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（六）负责监督管理全县公共体育设施，推进多元化体育服务设施建设；实施全民健身计划，指导和推进青少年体育工作。推动国民体质监测工作，组织全县群众性体育活动及业余训练工作。</w:t>
      </w:r>
    </w:p>
    <w:p w14:paraId="69F1D9E3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（七）负责全县广播电视基础设施建设与维护；承担全县广播电视播出和传输的日常监管，保障广播电视安全播出；负责全县卫星广播电视地面接收设施的管理，实施依法设定的行政许可，查处违法违规行为。</w:t>
      </w:r>
    </w:p>
    <w:p w14:paraId="1E01E057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（八）组织实施全县文化旅游资源普查、挖掘、保护和开发利用工作，促进全县文化旅游产业发展。协调推进全县全域旅游和文化旅游体育医养融合发展。</w:t>
      </w:r>
    </w:p>
    <w:p w14:paraId="228750DB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（九）负责全县非物质文化遗产保护工作，推动全县非物质文化遗产的保护、传承、普及、弘扬和振兴。</w:t>
      </w:r>
    </w:p>
    <w:p w14:paraId="606EF7F0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（十）负责文化遗产保护、整理、申报工作；承担全县文物管理和保护工作；负责推动博物馆公共服务体系建设，指导全县博物馆的业务工作；组织实施县境内文物保护修缮项目。</w:t>
      </w:r>
    </w:p>
    <w:p w14:paraId="24DDD920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负责全县文化、体育、旅游市场行业监管。推动全县文化、体育、旅游市场发展，推进全县文化旅游行业信用体系建设。组织实施文化旅游区、文化体育旅游设施、文化旅游公共服务、文化旅游产品等方面的国家标准、行业标准和地方标准。</w:t>
      </w:r>
    </w:p>
    <w:p w14:paraId="331D8973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（十二）会同有关部门负责全县文化、体育、广电、文博等专业技术职务资格的审核、申报、评审工作；组织全县农村文化实用人才、专业技术人员及文化、广电、体育和旅游行业从业人员的教育培训。</w:t>
      </w:r>
    </w:p>
    <w:p w14:paraId="224F0599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（十三）负责全县文化旅游市场综合行政执法工作。</w:t>
      </w:r>
    </w:p>
    <w:p w14:paraId="6FF72991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（十四）完成县委、县政府和上级业务部门交办的其他任务。</w:t>
      </w:r>
    </w:p>
    <w:p w14:paraId="601548EC">
      <w:pPr>
        <w:spacing w:line="560" w:lineRule="exact"/>
        <w:ind w:firstLine="643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（二）年度重点工作</w:t>
      </w:r>
    </w:p>
    <w:p w14:paraId="10D85EB9">
      <w:pPr>
        <w:numPr>
          <w:ilvl w:val="0"/>
          <w:numId w:val="0"/>
        </w:numPr>
        <w:tabs>
          <w:tab w:val="left" w:pos="1591"/>
        </w:tabs>
        <w:spacing w:line="560" w:lineRule="exact"/>
        <w:ind w:firstLine="96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ascii="仿宋_GB2312" w:eastAsia="仿宋_GB2312" w:cs="仿宋_GB2312"/>
          <w:sz w:val="32"/>
          <w:szCs w:val="32"/>
        </w:rPr>
        <w:t>我县以创建国家全域旅游示范区为目标，按照“以文促旅、以旅彰文”的工作思路，持续打造“世博圣地·五彩山丹”文化旅游品牌，加快推进重点项目建设，完善公共服务体系，扶持壮大文旅市场，强化综合市场监管和文物保护，全力做好疫情防控和文旅企业安全生产工作，各项工作取得明显</w:t>
      </w:r>
      <w:r>
        <w:rPr>
          <w:rFonts w:hint="eastAsia" w:ascii="仿宋_GB2312" w:eastAsia="仿宋_GB2312" w:cs="仿宋_GB2312"/>
          <w:sz w:val="32"/>
          <w:szCs w:val="32"/>
        </w:rPr>
        <w:t>成效。</w:t>
      </w:r>
    </w:p>
    <w:p w14:paraId="08E3BA55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强项目提质效，夯实文旅产业基础。</w:t>
      </w:r>
      <w:r>
        <w:rPr>
          <w:rFonts w:hint="eastAsia" w:ascii="仿宋_GB2312" w:eastAsia="仿宋_GB2312" w:cs="仿宋_GB2312"/>
          <w:sz w:val="32"/>
          <w:szCs w:val="32"/>
        </w:rPr>
        <w:t>始终把招商引资和项目建设作为推动产业发展的基石。以“走出去”“请进来”方式，积极与多家实力企业对接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洽谈</w:t>
      </w:r>
      <w:bookmarkStart w:id="1" w:name="_GoBack"/>
      <w:bookmarkEnd w:id="1"/>
      <w:r>
        <w:rPr>
          <w:rFonts w:hint="eastAsia" w:ascii="仿宋_GB2312" w:eastAsia="仿宋_GB2312" w:cs="仿宋_GB2312"/>
          <w:sz w:val="32"/>
          <w:szCs w:val="32"/>
        </w:rPr>
        <w:t>项目，就长城国家文化公园(山丹段)运营、清泉镇农旅融合产业园及五彩山丹体育公园建设项目达成合作协议。至目前，完成招商引资任务5200万元。实施仙堤书院复原、图书馆改造提升、南湖体育公园建设等文体广旅重点项目10余项。</w:t>
      </w:r>
    </w:p>
    <w:p w14:paraId="48888FC9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创精品提效能，推动文化事业繁荣发展。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始终把文艺精品创作作为文旅产业发展的加速器。创编《丝路神韵》《焉支姑娘》等文艺作品69个，《再唱山歌给党听》 《乡情》等文艺节目分获张掖市第十一届广场舞大赛三等奖和优秀奖，《习近平谈治国理政》《篱壁间物》等书画作品获甘肃省群文博优秀书法美术作品展优秀作品，《乡村的电商时代》 《乡村网红的日常》等漫画作品入选中国漫画展。</w:t>
      </w:r>
    </w:p>
    <w:p w14:paraId="5203AA5D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建品牌促融合，促进文旅产业提质升级。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品牌创建作为行业提质增效的抓手，成功创建和谐彩虹街为省级旅游休闲街区，与焉支巷子、世博恒太城连线成片，成为我县夜间消费主体，形成“旅游+夜游”的新业态。申报南湖生态文化(植物)园创建国家4A级旅游景区，汉明长城景区、山丹皇家马场旅游景区、如意花海田园综合体景区创建国家3A级旅游景区、瑞景酒店创建三星级旅游饭店已通过市级评审。大马营镇中河村评定为省级文旅振兴乡村样板村。推荐上报市级专业旅游村4个，星级农家乐4家，乡村旅游专业合作社3个。盘活全县文旅资源，设计推出文体旅融合、乡村振兴等5个主题研学培训产品、8条精品旅游线路和5条红色研学旅游线路，完成位奇镇芦堡村、李桥乡高庙村、山丹马场知青点建设。</w:t>
      </w:r>
    </w:p>
    <w:p w14:paraId="52C3F543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促宣传助营销，增强县域品牌影响力。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拓展文旅市场作为带动经济增长的前提和推进剂。编辑刊发《山丹文旅》季刊3期，官方微信、抖音线上平台发布图文、短视频645篇，同步推送至中央、省市主流媒体客户端，全网访问量超百万人次。通过甘肃交通广播电台《玩转甘肃栏目》和甘肃农村广播“那山那水我代言”等平台，全面、深入推荐山丹文旅资源。央视总台中国之声《新闻有观点》栏目对山丹汉明长城进行了专题报道，甘肃日报对全县重点文旅项目进行了集中宣传。</w:t>
      </w:r>
    </w:p>
    <w:p w14:paraId="0AA827F0">
      <w:pPr>
        <w:numPr>
          <w:ilvl w:val="0"/>
          <w:numId w:val="0"/>
        </w:numPr>
        <w:tabs>
          <w:tab w:val="left" w:pos="1591"/>
        </w:tabs>
        <w:spacing w:line="560" w:lineRule="exact"/>
        <w:ind w:firstLine="643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重传承抓保护，赓续传统文化血脉。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始终把文物安全和非遗传承作为增强文化自信的保障和催化剂。持续加强文物保护和宣传，完成87处县级以上文物保护单位安全巡查，优化项目用地文物资源审查，审批建设项目用地220宗。</w:t>
      </w:r>
    </w:p>
    <w:p w14:paraId="77319B10">
      <w:pPr>
        <w:spacing w:line="560" w:lineRule="exact"/>
        <w:ind w:firstLine="643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（三）整体收支情况</w:t>
      </w:r>
    </w:p>
    <w:p w14:paraId="287D5D84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1.收入决算情况：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我单位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本年度总收入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36958139.57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元，其中财政拨款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36094007.95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元，上级补助收入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70531.62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元，其他收入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793600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元（非同级财政拨款收入）。</w:t>
      </w:r>
    </w:p>
    <w:p w14:paraId="5A46FC5F">
      <w:pPr>
        <w:spacing w:line="560" w:lineRule="exact"/>
        <w:ind w:firstLine="640"/>
        <w:rPr>
          <w:rFonts w:ascii="仿宋_GB2312" w:hAnsi="黑体" w:eastAsia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2.支出决算情况：本年度单位总支出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36917583.25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元，按经济科目分，工资福利支出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8157176.35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元，商品和服务支出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12109520.39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元，对个人和家庭补助支出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742737.51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，资本性支出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15878149元，对企业补助支出30000元。</w:t>
      </w:r>
    </w:p>
    <w:p w14:paraId="22A3FC82"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二、整体支出管理及使用情况</w:t>
      </w:r>
    </w:p>
    <w:p w14:paraId="0C64BB86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（一）基本支出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本年基本支出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7793760.1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元，其中人员支出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7540572.2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元，公用经费支出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253187.9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元。</w:t>
      </w:r>
    </w:p>
    <w:p w14:paraId="1CD26897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（二）项目支出：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本年项目支出共计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val="en-US" w:eastAsia="zh-CN"/>
        </w:rPr>
        <w:t>29123823.15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元。</w:t>
      </w:r>
    </w:p>
    <w:p w14:paraId="2F5FB725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（三）“三公”经费决算说明</w:t>
      </w:r>
    </w:p>
    <w:p w14:paraId="32203CCE">
      <w:pPr>
        <w:spacing w:line="560" w:lineRule="exact"/>
        <w:ind w:firstLine="64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严控“三公经费”的使用，</w:t>
      </w:r>
      <w:r>
        <w:rPr>
          <w:rFonts w:hint="eastAsia" w:ascii="楷体_GB2312" w:hAnsi="黑体" w:eastAsia="楷体_GB2312"/>
          <w:bCs/>
          <w:sz w:val="32"/>
          <w:szCs w:val="32"/>
          <w:lang w:eastAsia="zh-CN"/>
        </w:rPr>
        <w:t>我单位</w:t>
      </w:r>
      <w:r>
        <w:rPr>
          <w:rFonts w:hint="eastAsia" w:ascii="楷体_GB2312" w:hAnsi="黑体" w:eastAsia="楷体_GB2312"/>
          <w:bCs/>
          <w:sz w:val="32"/>
          <w:szCs w:val="32"/>
        </w:rPr>
        <w:t>严格按照中央八项规定、县纪委、县财政局有关公务用车管理办法、公务接待工作管理办法和因公出国管理规定，规范了“三公经费”开支。 “三公经费”中，无公务接待费，</w:t>
      </w:r>
      <w:r>
        <w:rPr>
          <w:rFonts w:hint="eastAsia" w:ascii="楷体_GB2312" w:hAnsi="黑体" w:eastAsia="楷体_GB2312"/>
          <w:bCs/>
          <w:sz w:val="32"/>
          <w:szCs w:val="32"/>
          <w:lang w:eastAsia="zh-CN"/>
        </w:rPr>
        <w:t>无</w:t>
      </w:r>
      <w:r>
        <w:rPr>
          <w:rFonts w:hint="eastAsia" w:ascii="楷体_GB2312" w:hAnsi="黑体" w:eastAsia="楷体_GB2312"/>
          <w:bCs/>
          <w:sz w:val="32"/>
          <w:szCs w:val="32"/>
        </w:rPr>
        <w:t>公务用车运行维护费，无出国（境）费用。</w:t>
      </w:r>
    </w:p>
    <w:p w14:paraId="74179A30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（四）支出管理情况</w:t>
      </w:r>
    </w:p>
    <w:p w14:paraId="77A9E52B">
      <w:pPr>
        <w:spacing w:line="600" w:lineRule="exact"/>
        <w:ind w:firstLine="640"/>
        <w:rPr>
          <w:rFonts w:ascii="仿宋_GB2312" w:hAnsi="黑体" w:eastAsia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:lang w:eastAsia="zh-CN"/>
        </w:rPr>
        <w:t>我单位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基本支出的范围和主要用途包括部门的人员经费和日常公用经费。具体包括：工资福利支出、对个人和家庭的补助、商品和服务支出。基本支出的管理和使用都严格执行财务支出管理制度。</w:t>
      </w:r>
    </w:p>
    <w:p w14:paraId="6A80029A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（五）资产管理情况</w:t>
      </w:r>
    </w:p>
    <w:p w14:paraId="6512F4E6">
      <w:pPr>
        <w:spacing w:line="560" w:lineRule="exact"/>
        <w:ind w:left="218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加强内部管理进一步理顺资产管理体制，加强资产管理制度建设和工作机制，加大固定资产投资。单位逐步理顺了国有资产管理的体制机制，按照“统一领导，归口管理、分级负责、责任到人、科学配置、管用结合、物尽其用”的原则，实行所有权和使用权分离，使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资产管理行为有章可循。本单位资产的管理使用力求做到“购置有计划并按程序审批，验收严肃认真，使用保管有专人，变动有手续，既保证需要，又防止浪费”。资产的增添贯彻勤俭节约的方针，充分考虑单位的需要和财力，尽量避免资产闲置和重复购置的情况出现，力争做到“优质低价、合理布局、统筹安排、突出重点”。加强内部学习和培训，通过决算和固定资产决算，做到账表一致。</w:t>
      </w:r>
    </w:p>
    <w:p w14:paraId="4C968E4F"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三、整体支出绩效情况</w:t>
      </w:r>
    </w:p>
    <w:p w14:paraId="0172CAF5">
      <w:pPr>
        <w:keepNext w:val="0"/>
        <w:keepLines w:val="0"/>
        <w:pageBreakBefore w:val="0"/>
        <w:spacing w:line="560" w:lineRule="exact"/>
        <w:ind w:firstLine="64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舆论引导能力，把握正确导向，有效引导社会热点，唱响主旋律、激发正能量，营造良好舆论氛围。着力挖掘“五彩山丹”的自然人文禀赋和特色文化资源，在全县开展系列特色品牌文化活动，营造和谐、喜庆的节日氛围，弘扬地方民俗文化，全面展示人民群众的幸福生活的可喜变化和对美好生活的无限向往，提升全县文化影响力、凝聚力和竞争力。</w:t>
      </w:r>
    </w:p>
    <w:p w14:paraId="56792C8C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560" w:lineRule="exact"/>
        <w:ind w:left="0" w:right="0" w:firstLine="640"/>
        <w:jc w:val="both"/>
        <w:outlineLvl w:val="9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深入挖掘长城文化、景观和精神价值，突出活态传承、合理利用，完善基础设施、配套服务，推动产品业态升级、旅游目的地和精品赛事场地高质量发展，持续实施创新突破攻坚行动，着力构建起全域、全景、全产业链的文化旅游体育医养融合发展格局。</w:t>
      </w:r>
    </w:p>
    <w:p w14:paraId="13826239">
      <w:pPr>
        <w:spacing w:line="60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（一）认真执行了年初部门预算和财政政策要求。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工作经费安排严格按照年初预算来执行，有效防止了超预算；认真学习财经法规，严格执行财经纪律，防止了违法违纪行为的发生。</w:t>
      </w:r>
    </w:p>
    <w:p w14:paraId="00434CB7">
      <w:pPr>
        <w:spacing w:line="60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（二）保障了日常有效运转，统筹推进各项工作有序发展。</w:t>
      </w:r>
      <w:r>
        <w:rPr>
          <w:rFonts w:hint="eastAsia" w:ascii="仿宋_GB2312" w:eastAsia="仿宋_GB2312"/>
          <w:sz w:val="32"/>
          <w:szCs w:val="32"/>
        </w:rPr>
        <w:t>严格按照厉行节约的要求，精打细算，控制、压缩公务用车运行维护费，单位差旅费</w:t>
      </w:r>
      <w:bookmarkStart w:id="0" w:name="_Hlk94104559"/>
      <w:r>
        <w:rPr>
          <w:rFonts w:hint="eastAsia" w:ascii="仿宋_GB2312" w:eastAsia="仿宋_GB2312"/>
          <w:sz w:val="32"/>
          <w:szCs w:val="32"/>
        </w:rPr>
        <w:t>各项费用等</w:t>
      </w:r>
      <w:bookmarkEnd w:id="0"/>
      <w:r>
        <w:rPr>
          <w:rFonts w:hint="eastAsia" w:ascii="仿宋_GB2312" w:eastAsia="仿宋_GB2312"/>
          <w:sz w:val="32"/>
          <w:szCs w:val="32"/>
        </w:rPr>
        <w:t>，厉行节约，加大对重点支出的保障力度。规范事务管理工作，提高服务质量，降低运行成本，合理配置，提高保障能力，各项目标任务落到实处。</w:t>
      </w:r>
    </w:p>
    <w:p w14:paraId="1C8F76FF">
      <w:pPr>
        <w:spacing w:line="600" w:lineRule="exact"/>
        <w:ind w:firstLine="643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（三）加强了干部队伍建设。</w:t>
      </w:r>
      <w:r>
        <w:rPr>
          <w:rFonts w:hint="eastAsia" w:ascii="仿宋_GB2312" w:eastAsia="仿宋_GB2312"/>
          <w:sz w:val="32"/>
          <w:szCs w:val="32"/>
        </w:rPr>
        <w:t>认真贯彻落实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全面</w:t>
      </w:r>
      <w:r>
        <w:rPr>
          <w:rFonts w:hint="eastAsia" w:ascii="仿宋_GB2312" w:eastAsia="仿宋_GB2312"/>
          <w:sz w:val="32"/>
          <w:szCs w:val="32"/>
        </w:rPr>
        <w:t>从严治党各项要求，把政治建设摆在首位，持之以恒推进全面从严治党，坚定理想信念，强化工作担当。把握工作规律，牢记工作根本任务、基本职责、工作格局、价值理念和工作方法，并在实践中坚持发展和丰富完善，不断提高工作能力和业务水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38D2792"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四、存在的问题</w:t>
      </w:r>
    </w:p>
    <w:p w14:paraId="47787A7D">
      <w:pPr>
        <w:keepNext w:val="0"/>
        <w:keepLines w:val="0"/>
        <w:pageBreakBefore w:val="0"/>
        <w:widowControl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我县属农业县，辖区面积大，农村人口占多数，专项资金支出范围较窄，致使项目开展在很大程度上受到制约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随着项目绩效评估工作逐年开展，项目绩效评估对合理、规范使用财政专项资金所带来的好处显而易见。但目前绩效评价人员的业务素质参差不齐，业务能力高低不一，影响整个评价的准确性、客观性。</w:t>
      </w:r>
    </w:p>
    <w:p w14:paraId="156C03D3"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 w14:paraId="33F95146">
      <w:pPr>
        <w:keepNext w:val="0"/>
        <w:keepLines w:val="0"/>
        <w:pageBreakBefore w:val="0"/>
        <w:widowControl w:val="0"/>
        <w:spacing w:line="560" w:lineRule="exact"/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加强项目资金的监督管理，完善资金使用审批程序，大力节约财政资金，把有限的资金用在刀刃上，确保</w:t>
      </w:r>
      <w:r>
        <w:rPr>
          <w:rFonts w:hint="eastAsia" w:ascii="仿宋_GB2312" w:eastAsia="仿宋_GB2312"/>
          <w:sz w:val="32"/>
          <w:szCs w:val="32"/>
          <w:lang w:eastAsia="zh-CN"/>
        </w:rPr>
        <w:t>项目建设</w:t>
      </w:r>
      <w:r>
        <w:rPr>
          <w:rFonts w:hint="eastAsia" w:ascii="仿宋_GB2312" w:eastAsia="仿宋_GB2312"/>
          <w:sz w:val="32"/>
          <w:szCs w:val="32"/>
        </w:rPr>
        <w:t>工作的质量和进度。</w:t>
      </w:r>
      <w:r>
        <w:rPr>
          <w:rFonts w:hint="eastAsia" w:ascii="仿宋_GB2312" w:eastAsia="仿宋_GB2312"/>
          <w:sz w:val="32"/>
          <w:szCs w:val="32"/>
          <w:lang w:eastAsia="zh-CN"/>
        </w:rPr>
        <w:t>在项目建设上进一步</w:t>
      </w:r>
      <w:r>
        <w:rPr>
          <w:rFonts w:hint="eastAsia" w:ascii="仿宋" w:hAnsi="仿宋" w:eastAsia="仿宋"/>
          <w:color w:val="000000"/>
          <w:sz w:val="32"/>
          <w:szCs w:val="32"/>
        </w:rPr>
        <w:t>加快项目实施进度，确保按期高效、高质量、高标准完成目标任务。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按工程量进度</w:t>
      </w:r>
      <w:r>
        <w:rPr>
          <w:rFonts w:hint="eastAsia" w:ascii="仿宋" w:hAnsi="仿宋" w:eastAsia="仿宋"/>
          <w:color w:val="000000"/>
          <w:sz w:val="32"/>
          <w:szCs w:val="32"/>
        </w:rPr>
        <w:t>办理相关支付手续，提高项目资金执行率和使用效率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在项目资金管理、招投标环节、工程实施过程中严格执行国家相关法律法规和财务规章制度，确保项目资金使用规范，</w:t>
      </w:r>
      <w: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  <w:t>绩效目标</w:t>
      </w:r>
      <w:r>
        <w:rPr>
          <w:rStyle w:val="35"/>
          <w:rFonts w:ascii="仿宋" w:hAnsi="仿宋" w:eastAsia="仿宋" w:cs="Arial"/>
          <w:i w:val="0"/>
          <w:iCs w:val="0"/>
          <w:color w:val="000000"/>
          <w:sz w:val="32"/>
          <w:szCs w:val="32"/>
          <w:shd w:val="clear" w:color="auto" w:fill="FFFFFF"/>
        </w:rPr>
        <w:t>合理</w:t>
      </w:r>
      <w:r>
        <w:rPr>
          <w:rStyle w:val="35"/>
          <w:rFonts w:hint="eastAsia" w:ascii="仿宋" w:hAnsi="仿宋" w:eastAsia="仿宋" w:cs="Arial"/>
          <w:i w:val="0"/>
          <w:iCs w:val="0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项目质量达标。</w:t>
      </w:r>
    </w:p>
    <w:p w14:paraId="51748218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六、意见建议</w:t>
      </w:r>
    </w:p>
    <w:p w14:paraId="75ACDE1F">
      <w:pPr>
        <w:spacing w:line="56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无</w:t>
      </w:r>
    </w:p>
    <w:p w14:paraId="612FD8AC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6DED3447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33F7243F">
      <w:pPr>
        <w:pStyle w:val="2"/>
        <w:jc w:val="center"/>
        <w:rPr>
          <w:rFonts w:hint="eastAsia" w:ascii="仿宋" w:hAnsi="仿宋" w:eastAsia="仿宋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sz w:val="32"/>
          <w:szCs w:val="32"/>
          <w:lang w:val="en-US" w:eastAsia="zh-CN" w:bidi="ar-SA"/>
        </w:rPr>
        <w:t xml:space="preserve">             山丹县文体广电和旅游局</w:t>
      </w:r>
    </w:p>
    <w:p w14:paraId="59F64595">
      <w:pPr>
        <w:pStyle w:val="2"/>
        <w:jc w:val="center"/>
        <w:rPr>
          <w:rFonts w:hint="default" w:ascii="仿宋" w:hAnsi="仿宋" w:eastAsia="仿宋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sz w:val="32"/>
          <w:szCs w:val="32"/>
          <w:lang w:val="en-US" w:eastAsia="zh-CN" w:bidi="ar-SA"/>
        </w:rPr>
        <w:t xml:space="preserve">            2023年12月20日</w:t>
      </w:r>
    </w:p>
    <w:p w14:paraId="10242FE4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14:paraId="7309BBCB"/>
    <w:p w14:paraId="4D0D7B4D"/>
    <w:sectPr>
      <w:pgSz w:w="11906" w:h="16838" w:orient="landscape"/>
      <w:pgMar w:top="1440" w:right="1797" w:bottom="1440" w:left="1797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27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6">
    <w:name w:val="heading 4"/>
    <w:basedOn w:val="1"/>
    <w:next w:val="1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7">
    <w:name w:val="heading 5"/>
    <w:basedOn w:val="1"/>
    <w:next w:val="1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9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1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2">
    <w:name w:val="Body Text"/>
    <w:basedOn w:val="1"/>
    <w:qFormat/>
    <w:uiPriority w:val="0"/>
    <w:pPr>
      <w:jc w:val="left"/>
    </w:pPr>
    <w:rPr>
      <w:rFonts w:ascii="宋体" w:hAnsi="宋体" w:cs="宋体"/>
      <w:sz w:val="32"/>
      <w:szCs w:val="32"/>
      <w:lang w:eastAsia="en-US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14">
    <w:name w:val="index 6"/>
    <w:basedOn w:val="1"/>
    <w:next w:val="1"/>
    <w:qFormat/>
    <w:uiPriority w:val="0"/>
  </w:style>
  <w:style w:type="paragraph" w:styleId="1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footer"/>
    <w:basedOn w:val="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0">
    <w:name w:val="header"/>
    <w:basedOn w:val="1"/>
    <w:link w:val="18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sz w:val="24"/>
      <w:lang w:val="en-US" w:eastAsia="zh-CN" w:bidi="ar"/>
    </w:rPr>
  </w:style>
  <w:style w:type="paragraph" w:styleId="30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2">
    <w:name w:val="Table Grid"/>
    <w:basedOn w:val="31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4">
    <w:name w:val="endnote reference"/>
    <w:basedOn w:val="33"/>
    <w:semiHidden/>
    <w:unhideWhenUsed/>
    <w:qFormat/>
    <w:uiPriority w:val="99"/>
    <w:rPr>
      <w:vertAlign w:val="superscript"/>
    </w:rPr>
  </w:style>
  <w:style w:type="character" w:styleId="35">
    <w:name w:val="Emphasis"/>
    <w:basedOn w:val="33"/>
    <w:qFormat/>
    <w:uiPriority w:val="20"/>
    <w:rPr>
      <w:i/>
      <w:iCs/>
    </w:rPr>
  </w:style>
  <w:style w:type="character" w:styleId="36">
    <w:name w:val="Hyperlink"/>
    <w:unhideWhenUsed/>
    <w:qFormat/>
    <w:uiPriority w:val="99"/>
    <w:rPr>
      <w:color w:val="0563C1" w:themeColor="hyperlink"/>
      <w:u w:val="single"/>
    </w:rPr>
  </w:style>
  <w:style w:type="character" w:styleId="37">
    <w:name w:val="footnote reference"/>
    <w:basedOn w:val="33"/>
    <w:unhideWhenUsed/>
    <w:qFormat/>
    <w:uiPriority w:val="99"/>
    <w:rPr>
      <w:vertAlign w:val="superscript"/>
    </w:rPr>
  </w:style>
  <w:style w:type="character" w:customStyle="1" w:styleId="38">
    <w:name w:val="Heading 1 Char"/>
    <w:basedOn w:val="33"/>
    <w:link w:val="3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9">
    <w:name w:val="Heading 2 Char"/>
    <w:basedOn w:val="33"/>
    <w:link w:val="4"/>
    <w:qFormat/>
    <w:uiPriority w:val="9"/>
    <w:rPr>
      <w:rFonts w:ascii="等线" w:hAnsi="等线" w:eastAsia="等线" w:cs="等线"/>
      <w:sz w:val="34"/>
    </w:rPr>
  </w:style>
  <w:style w:type="character" w:customStyle="1" w:styleId="40">
    <w:name w:val="Heading 3 Char"/>
    <w:basedOn w:val="33"/>
    <w:link w:val="5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1">
    <w:name w:val="Heading 4 Char"/>
    <w:basedOn w:val="33"/>
    <w:link w:val="6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2">
    <w:name w:val="Heading 5 Char"/>
    <w:basedOn w:val="33"/>
    <w:link w:val="7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3">
    <w:name w:val="Heading 6 Char"/>
    <w:basedOn w:val="33"/>
    <w:link w:val="8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4">
    <w:name w:val="Heading 7 Char"/>
    <w:basedOn w:val="33"/>
    <w:link w:val="9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5">
    <w:name w:val="Heading 8 Char"/>
    <w:basedOn w:val="33"/>
    <w:link w:val="10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6">
    <w:name w:val="Heading 9 Char"/>
    <w:basedOn w:val="33"/>
    <w:link w:val="11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character" w:customStyle="1" w:styleId="48">
    <w:name w:val="Title Char"/>
    <w:basedOn w:val="33"/>
    <w:link w:val="30"/>
    <w:qFormat/>
    <w:uiPriority w:val="10"/>
    <w:rPr>
      <w:sz w:val="48"/>
      <w:szCs w:val="48"/>
    </w:rPr>
  </w:style>
  <w:style w:type="character" w:customStyle="1" w:styleId="49">
    <w:name w:val="Subtitle Char"/>
    <w:basedOn w:val="33"/>
    <w:link w:val="23"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uiPriority w:val="30"/>
    <w:rPr>
      <w:i/>
    </w:rPr>
  </w:style>
  <w:style w:type="character" w:customStyle="1" w:styleId="54">
    <w:name w:val="Header Char"/>
    <w:basedOn w:val="33"/>
    <w:uiPriority w:val="99"/>
  </w:style>
  <w:style w:type="character" w:customStyle="1" w:styleId="55">
    <w:name w:val="Footer Char"/>
    <w:basedOn w:val="33"/>
    <w:uiPriority w:val="99"/>
  </w:style>
  <w:style w:type="character" w:customStyle="1" w:styleId="56">
    <w:name w:val="Caption Char"/>
    <w:uiPriority w:val="99"/>
  </w:style>
  <w:style w:type="table" w:customStyle="1" w:styleId="57">
    <w:name w:val="Table Grid Light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3"/>
    <w:basedOn w:val="31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Plain Table 4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Plain Table 5"/>
    <w:basedOn w:val="31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"/>
    <w:basedOn w:val="31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1"/>
    <w:basedOn w:val="31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2"/>
    <w:basedOn w:val="31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3"/>
    <w:basedOn w:val="31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4"/>
    <w:basedOn w:val="31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1 Light - Accent 5"/>
    <w:basedOn w:val="31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1 Light - Accent 6"/>
    <w:basedOn w:val="31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1"/>
    <w:basedOn w:val="31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2"/>
    <w:basedOn w:val="31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3"/>
    <w:basedOn w:val="31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4"/>
    <w:basedOn w:val="31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2 - Accent 5"/>
    <w:basedOn w:val="31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2 - Accent 6"/>
    <w:basedOn w:val="31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1"/>
    <w:basedOn w:val="31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2"/>
    <w:basedOn w:val="31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3"/>
    <w:basedOn w:val="31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4"/>
    <w:basedOn w:val="31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3 - Accent 5"/>
    <w:basedOn w:val="31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3 - Accent 6"/>
    <w:basedOn w:val="31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"/>
    <w:basedOn w:val="31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1"/>
    <w:basedOn w:val="31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2"/>
    <w:basedOn w:val="31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3"/>
    <w:basedOn w:val="31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4"/>
    <w:basedOn w:val="31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4 - Accent 5"/>
    <w:basedOn w:val="31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4 - Accent 6"/>
    <w:basedOn w:val="31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1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2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3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- Accent 4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5 Dark - Accent 5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5 Dark - Accent 6"/>
    <w:basedOn w:val="3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/>
    </w:tblStylePr>
    <w:tblStylePr w:type="firstCol">
      <w:rPr>
        <w:b/>
        <w:color w:val="7E7E7E" w:themeColor="text1" w:themeShade="95" w:themeTint="80"/>
      </w:rPr>
      <w:tblPr/>
    </w:tblStylePr>
    <w:tblStylePr w:type="lastCol">
      <w:rPr>
        <w:b/>
        <w:color w:val="7E7E7E" w:themeColor="text1" w:themeShade="95" w:themeTint="80"/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1"/>
    <w:basedOn w:val="31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  <w:tblPr/>
    </w:tblStylePr>
    <w:tblStylePr w:type="firstCol">
      <w:rPr>
        <w:b/>
        <w:color w:val="ACCCE9" w:themeColor="accent1" w:themeShade="95" w:themeTint="80"/>
      </w:rPr>
      <w:tblPr/>
    </w:tblStylePr>
    <w:tblStylePr w:type="lastCol">
      <w:rPr>
        <w:b/>
        <w:color w:val="ACCCE9" w:themeColor="accent1" w:themeShade="95" w:themeTint="80"/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CCCE9" w:themeColor="accent1" w:themeShade="95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2"/>
    <w:basedOn w:val="31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  <w:tblPr/>
    </w:tblStylePr>
    <w:tblStylePr w:type="firstCol">
      <w:rPr>
        <w:b/>
        <w:color w:val="F4B285" w:themeColor="accent2" w:themeShade="95" w:themeTint="97"/>
      </w:rPr>
      <w:tblPr/>
    </w:tblStylePr>
    <w:tblStylePr w:type="lastCol">
      <w:rPr>
        <w:b/>
        <w:color w:val="F4B285" w:themeColor="accent2" w:themeShade="95" w:themeTint="97"/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Shade="95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3"/>
    <w:basedOn w:val="31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  <w:tblPr/>
    </w:tblStylePr>
    <w:tblStylePr w:type="firstCol">
      <w:rPr>
        <w:b/>
        <w:color w:val="A5A5A5" w:themeColor="accent3" w:themeShade="95" w:themeTint="FE"/>
      </w:rPr>
      <w:tblPr/>
    </w:tblStylePr>
    <w:tblStylePr w:type="lastCol">
      <w:rPr>
        <w:b/>
        <w:color w:val="A5A5A5" w:themeColor="accent3" w:themeShade="95" w:themeTint="FE"/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4"/>
    <w:basedOn w:val="31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  <w:tblPr/>
    </w:tblStylePr>
    <w:tblStylePr w:type="firstCol">
      <w:rPr>
        <w:b/>
        <w:color w:val="FFD864" w:themeColor="accent4" w:themeShade="95" w:themeTint="9A"/>
      </w:rPr>
      <w:tblPr/>
    </w:tblStylePr>
    <w:tblStylePr w:type="lastCol">
      <w:rPr>
        <w:b/>
        <w:color w:val="FFD864" w:themeColor="accent4" w:themeShade="95" w:themeTint="9A"/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864" w:themeColor="accent4" w:themeShade="95" w:themeTint="9A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6 Colorful - Accent 5"/>
    <w:basedOn w:val="31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  <w:tblPr/>
    </w:tblStylePr>
    <w:tblStylePr w:type="firstCol">
      <w:rPr>
        <w:b/>
        <w:color w:val="244175" w:themeColor="accent5" w:themeShade="95"/>
      </w:rPr>
      <w:tblPr/>
    </w:tblStylePr>
    <w:tblStylePr w:type="lastCol">
      <w:rPr>
        <w:b/>
        <w:color w:val="244175" w:themeColor="accent5" w:themeShade="95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4175" w:themeColor="accent5" w:themeShade="95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6 Colorful - Accent 6"/>
    <w:basedOn w:val="31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  <w:tblPr/>
    </w:tblStylePr>
    <w:tblStylePr w:type="firstCol">
      <w:rPr>
        <w:b/>
        <w:color w:val="244175" w:themeColor="accent5" w:themeShade="95"/>
      </w:rPr>
      <w:tblPr/>
    </w:tblStylePr>
    <w:tblStylePr w:type="lastCol">
      <w:rPr>
        <w:b/>
        <w:color w:val="244175" w:themeColor="accent5" w:themeShade="95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"/>
    <w:basedOn w:val="31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1"/>
    <w:basedOn w:val="31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CCCE9" w:themeColor="accent1" w:themeShade="95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2"/>
    <w:basedOn w:val="31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Shade="95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3"/>
    <w:basedOn w:val="31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4"/>
    <w:basedOn w:val="31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864" w:themeColor="accent4" w:themeShade="95" w:themeTint="9A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Grid Table 7 Colorful - Accent 5"/>
    <w:basedOn w:val="31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4175" w:themeColor="accent5" w:themeShade="95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Grid Table 7 Colorful - Accent 6"/>
    <w:basedOn w:val="31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5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1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2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3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4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1 Light - Accent 5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1 Light - Accent 6"/>
    <w:basedOn w:val="3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"/>
    <w:basedOn w:val="31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1"/>
    <w:basedOn w:val="31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2"/>
    <w:basedOn w:val="31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3"/>
    <w:basedOn w:val="31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4"/>
    <w:basedOn w:val="31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2 - Accent 5"/>
    <w:basedOn w:val="31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2 - Accent 6"/>
    <w:basedOn w:val="31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1"/>
    <w:basedOn w:val="31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2"/>
    <w:basedOn w:val="31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3"/>
    <w:basedOn w:val="31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4"/>
    <w:basedOn w:val="31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3 - Accent 5"/>
    <w:basedOn w:val="31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3 - Accent 6"/>
    <w:basedOn w:val="31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1"/>
    <w:basedOn w:val="31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2"/>
    <w:basedOn w:val="31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3"/>
    <w:basedOn w:val="31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4"/>
    <w:basedOn w:val="31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4 - Accent 5"/>
    <w:basedOn w:val="31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4 - Accent 6"/>
    <w:basedOn w:val="31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1"/>
    <w:basedOn w:val="31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2"/>
    <w:basedOn w:val="31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3"/>
    <w:basedOn w:val="31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4"/>
    <w:basedOn w:val="31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5 Dark - Accent 5"/>
    <w:basedOn w:val="31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5 Dark - Accent 6"/>
    <w:basedOn w:val="31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"/>
    <w:basedOn w:val="31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1"/>
    <w:basedOn w:val="31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  <w:tblPr/>
    </w:tblStylePr>
    <w:tblStylePr w:type="lastCol">
      <w:rPr>
        <w:b/>
        <w:color w:val="245B8D" w:themeColor="accent1" w:themeShade="95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2"/>
    <w:basedOn w:val="31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  <w:tblPr/>
    </w:tblStylePr>
    <w:tblStylePr w:type="lastCol">
      <w:rPr>
        <w:b/>
        <w:color w:val="F4B285" w:themeColor="accent2" w:themeShade="95" w:themeTint="97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Shade="95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3"/>
    <w:basedOn w:val="31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  <w:tblPr/>
    </w:tblStylePr>
    <w:tblStylePr w:type="lastCol">
      <w:rPr>
        <w:b/>
        <w:color w:val="C9C9C9" w:themeColor="accent3" w:themeShade="95" w:themeTint="98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4"/>
    <w:basedOn w:val="31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  <w:tblPr/>
    </w:tblStylePr>
    <w:tblStylePr w:type="lastCol">
      <w:rPr>
        <w:b/>
        <w:color w:val="FFD864" w:themeColor="accent4" w:themeShade="95" w:themeTint="9A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864" w:themeColor="accent4" w:themeShade="95" w:themeTint="9A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6 Colorful - Accent 5"/>
    <w:basedOn w:val="31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  <w:tblPr/>
    </w:tblStylePr>
    <w:tblStylePr w:type="lastCol">
      <w:rPr>
        <w:b/>
        <w:color w:val="8EA9DB" w:themeColor="accent5" w:themeShade="95" w:themeTint="9A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EA9DB" w:themeColor="accent5" w:themeShade="95" w:themeTint="9A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6 Colorful - Accent 6"/>
    <w:basedOn w:val="31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  <w:tblPr/>
    </w:tblStylePr>
    <w:tblStylePr w:type="lastCol">
      <w:rPr>
        <w:b/>
        <w:color w:val="A9D08E" w:themeColor="accent6" w:themeShade="95" w:themeTint="98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"/>
    <w:basedOn w:val="31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1"/>
    <w:basedOn w:val="31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2"/>
    <w:basedOn w:val="31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Shade="95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3"/>
    <w:basedOn w:val="31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4"/>
    <w:basedOn w:val="31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864" w:themeColor="accent4" w:themeShade="95" w:themeTint="9A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st Table 7 Colorful - Accent 5"/>
    <w:basedOn w:val="31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EA9DB" w:themeColor="accent5" w:themeShade="95" w:themeTint="9A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st Table 7 Colorful - Accent 6"/>
    <w:basedOn w:val="31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1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2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3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4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Lined - Accent 5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Lined - Accent 6"/>
    <w:basedOn w:val="3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1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2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3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4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&amp; Lined - Accent 5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&amp; Lined - Accent 6"/>
    <w:basedOn w:val="31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"/>
    <w:basedOn w:val="31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1"/>
    <w:basedOn w:val="31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3"/>
    <w:basedOn w:val="31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4"/>
    <w:basedOn w:val="31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0">
    <w:name w:val="Bordered - Accent 5"/>
    <w:basedOn w:val="31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1">
    <w:name w:val="Bordered - Accent 6"/>
    <w:basedOn w:val="31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2">
    <w:name w:val="Footnote Text Char"/>
    <w:link w:val="24"/>
    <w:qFormat/>
    <w:uiPriority w:val="99"/>
    <w:rPr>
      <w:sz w:val="18"/>
    </w:rPr>
  </w:style>
  <w:style w:type="character" w:customStyle="1" w:styleId="183">
    <w:name w:val="Endnote Text Char"/>
    <w:link w:val="18"/>
    <w:qFormat/>
    <w:uiPriority w:val="99"/>
    <w:rPr>
      <w:sz w:val="20"/>
    </w:rPr>
  </w:style>
  <w:style w:type="paragraph" w:customStyle="1" w:styleId="184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5">
    <w:name w:val="页眉 字符"/>
    <w:basedOn w:val="33"/>
    <w:link w:val="20"/>
    <w:qFormat/>
    <w:uiPriority w:val="0"/>
    <w:rPr>
      <w:rFonts w:ascii="Calibri"/>
      <w:sz w:val="18"/>
      <w:szCs w:val="18"/>
    </w:rPr>
  </w:style>
  <w:style w:type="character" w:customStyle="1" w:styleId="186">
    <w:name w:val="页脚 字符"/>
    <w:basedOn w:val="33"/>
    <w:link w:val="19"/>
    <w:qFormat/>
    <w:uiPriority w:val="0"/>
    <w:rPr>
      <w:rFonts w:ascii="Calibri"/>
      <w:sz w:val="18"/>
      <w:szCs w:val="18"/>
    </w:rPr>
  </w:style>
  <w:style w:type="paragraph" w:styleId="187">
    <w:name w:val="No Spacing"/>
    <w:qFormat/>
    <w:uiPriority w:val="1"/>
    <w:pPr>
      <w:widowControl w:val="0"/>
      <w:jc w:val="both"/>
    </w:pPr>
    <w:rPr>
      <w:rFonts w:hint="default" w:ascii="Book Antiqua" w:hAnsi="Book Antiqua" w:eastAsia="宋体" w:cs="Book Antiqua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4462</Words>
  <Characters>4613</Characters>
  <TotalTime>0</TotalTime>
  <ScaleCrop>false</ScaleCrop>
  <LinksUpToDate>false</LinksUpToDate>
  <CharactersWithSpaces>4645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2018-03-23T02:40:00Z</dcterms:created>
  <dc:creator>散步的鱼</dc:creator>
  <cp:lastModifiedBy>陈明慧</cp:lastModifiedBy>
  <dcterms:modified xsi:type="dcterms:W3CDTF">2025-06-06T07:11:49Z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2ACC8A25E1F34765AC55ADBBF5E6CC77_12</vt:lpwstr>
  </property>
  <property fmtid="{D5CDD505-2E9C-101B-9397-08002B2CF9AE}" pid="4" name="KSOTemplateDocerSaveRecord">
    <vt:lpwstr>eyJoZGlkIjoiNWM0Zjg3MTkyYWI3YTJhNTIzMjRjNjMxNWVmYTQyYTMiLCJ1c2VySWQiOiI4OTI2MjUzODEifQ==</vt:lpwstr>
  </property>
</Properties>
</file>