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19B43">
      <w:pPr>
        <w:jc w:val="left"/>
        <w:rPr>
          <w:rFonts w:ascii="黑体" w:hAnsi="黑体" w:eastAsia="黑体"/>
          <w:sz w:val="32"/>
          <w:szCs w:val="32"/>
        </w:rPr>
      </w:pPr>
      <w:r>
        <w:rPr>
          <w:rFonts w:hint="eastAsia" w:ascii="黑体" w:hAnsi="黑体" w:eastAsia="黑体"/>
          <w:sz w:val="32"/>
          <w:szCs w:val="32"/>
        </w:rPr>
        <w:t>附件5</w:t>
      </w:r>
    </w:p>
    <w:p w14:paraId="0A6463B9">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2EC343DB">
      <w:pPr>
        <w:spacing w:line="600" w:lineRule="exact"/>
        <w:ind w:firstLine="640" w:firstLineChars="200"/>
        <w:rPr>
          <w:rFonts w:eastAsia="黑体"/>
          <w:sz w:val="32"/>
          <w:szCs w:val="32"/>
        </w:rPr>
      </w:pPr>
      <w:r>
        <w:rPr>
          <w:rFonts w:hint="eastAsia" w:eastAsia="黑体"/>
          <w:sz w:val="32"/>
          <w:szCs w:val="32"/>
        </w:rPr>
        <w:t>一、项目基本情况</w:t>
      </w:r>
    </w:p>
    <w:p w14:paraId="0B47911A">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46F5EEAA">
      <w:pPr>
        <w:spacing w:line="600" w:lineRule="exact"/>
        <w:ind w:firstLine="960" w:firstLineChars="300"/>
        <w:rPr>
          <w:rFonts w:hint="eastAsia" w:ascii="仿宋_GB2312" w:eastAsia="仿宋_GB2312"/>
          <w:sz w:val="32"/>
          <w:szCs w:val="32"/>
        </w:rPr>
      </w:pPr>
      <w:r>
        <w:rPr>
          <w:rFonts w:hint="eastAsia" w:ascii="仿宋_GB2312" w:eastAsia="仿宋_GB2312"/>
          <w:sz w:val="32"/>
          <w:szCs w:val="32"/>
        </w:rP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包括城乡居民健康档案管理、健康教育、预防接种、0-6岁儿童健康管理、孕产妇健康管理、老年人健康管理、慢性病患者健康管理(高血压、糖尿病)、重性精神疾病患者管理、结核病患者健康管理、传染病及突发公共卫生事件报告和处理服务、中医药健康管理、卫生计生监督协管服务、免费提供避孕药具、健康素养促进等十四项内容。</w:t>
      </w:r>
    </w:p>
    <w:p w14:paraId="6D1CA218">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14:paraId="317DA1F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公共卫生服务项目是国家切实提高城乡居民健康水平的重要方法和惠民政策，通过实施基本公共卫生服务项目，对居民健康问题实施干预，减少主要健康危险因素，有效预防和控制主要传染病及慢性病，提高公共卫生服务和突发公共卫生事件应急处置能力，规范公共卫生服务行为，推进基本公共卫生服务项目开展，使全体居民逐步享有均等化的基本公共卫生服务，全面完成2023年度基本公共卫生服务项目的各项任务指标.</w:t>
      </w:r>
    </w:p>
    <w:p w14:paraId="35813CA1">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14:paraId="4671F87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eastAsia="zh-CN"/>
        </w:rPr>
        <w:t>山丹县卫生健康局</w:t>
      </w:r>
      <w:r>
        <w:rPr>
          <w:rFonts w:hint="eastAsia" w:ascii="仿宋_GB2312" w:eastAsia="仿宋_GB2312"/>
          <w:sz w:val="32"/>
          <w:szCs w:val="32"/>
        </w:rPr>
        <w:t>对基本公共卫生服务项目资金按各具体项目工作量及成本等进行测算，严格按照完成的数量、质量及考核结果进行分配。项目经费实行专帐管理，专款专用。</w:t>
      </w:r>
      <w:r>
        <w:rPr>
          <w:rFonts w:hint="eastAsia" w:ascii="仿宋_GB2312" w:eastAsia="仿宋_GB2312"/>
          <w:sz w:val="32"/>
          <w:szCs w:val="32"/>
          <w:lang w:eastAsia="zh-CN"/>
        </w:rPr>
        <w:t>本年分配到本单位基本公共卫生项目补助资金共计金额</w:t>
      </w:r>
      <w:r>
        <w:rPr>
          <w:rFonts w:hint="eastAsia" w:ascii="仿宋_GB2312" w:eastAsia="仿宋_GB2312"/>
          <w:sz w:val="32"/>
          <w:szCs w:val="32"/>
          <w:lang w:val="en-US" w:eastAsia="zh-CN"/>
        </w:rPr>
        <w:t>502.84万元</w:t>
      </w:r>
      <w:r>
        <w:rPr>
          <w:rFonts w:hint="eastAsia" w:ascii="仿宋_GB2312" w:eastAsia="仿宋_GB2312"/>
          <w:sz w:val="32"/>
          <w:szCs w:val="32"/>
        </w:rPr>
        <w:t>，</w:t>
      </w:r>
      <w:r>
        <w:rPr>
          <w:rFonts w:hint="eastAsia" w:ascii="仿宋_GB2312" w:hAnsi="Times New Roman" w:eastAsia="仿宋_GB2312" w:cs="仿宋_GB2312"/>
          <w:kern w:val="2"/>
          <w:sz w:val="32"/>
          <w:szCs w:val="32"/>
          <w:lang w:val="en-US" w:eastAsia="zh-CN"/>
        </w:rPr>
        <w:t>本</w:t>
      </w:r>
      <w:r>
        <w:rPr>
          <w:rFonts w:hint="eastAsia" w:ascii="仿宋_GB2312" w:eastAsia="仿宋_GB2312"/>
          <w:sz w:val="32"/>
          <w:szCs w:val="32"/>
          <w:lang w:val="en-US" w:eastAsia="zh-CN"/>
        </w:rPr>
        <w:t>单位重视资金使用效益，按照规定用途合理使用资金，严格执行财经纪律，资金专款专用，于2023年11月底已全部</w:t>
      </w:r>
      <w:r>
        <w:rPr>
          <w:rFonts w:hint="eastAsia" w:ascii="仿宋_GB2312" w:eastAsia="仿宋_GB2312"/>
          <w:color w:val="000000" w:themeColor="text1"/>
          <w:sz w:val="32"/>
          <w:szCs w:val="32"/>
          <w:lang w:val="en-US" w:eastAsia="zh-CN"/>
        </w:rPr>
        <w:t>形成支出</w:t>
      </w:r>
      <w:r>
        <w:rPr>
          <w:rFonts w:hint="eastAsia" w:ascii="仿宋_GB2312" w:eastAsia="仿宋_GB2312"/>
          <w:sz w:val="32"/>
          <w:szCs w:val="32"/>
          <w:lang w:val="en-US" w:eastAsia="zh-CN"/>
        </w:rPr>
        <w:t>。</w:t>
      </w:r>
    </w:p>
    <w:p w14:paraId="4CEDA199">
      <w:pPr>
        <w:numPr>
          <w:ilvl w:val="0"/>
          <w:numId w:val="1"/>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绩效目标完成情况及效益分析</w:t>
      </w:r>
    </w:p>
    <w:p w14:paraId="5230F265">
      <w:pPr>
        <w:keepNext w:val="0"/>
        <w:keepLines w:val="0"/>
        <w:pageBreakBefore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_GB2312" w:hAnsi="新宋体" w:eastAsia="仿宋_GB2312"/>
          <w:color w:val="auto"/>
          <w:sz w:val="32"/>
          <w:szCs w:val="32"/>
        </w:rPr>
      </w:pPr>
      <w:r>
        <w:rPr>
          <w:rFonts w:hint="eastAsia" w:ascii="仿宋_GB2312" w:hAnsi="新宋体" w:eastAsia="仿宋_GB2312"/>
          <w:color w:val="auto"/>
          <w:sz w:val="32"/>
          <w:szCs w:val="32"/>
          <w:lang w:eastAsia="zh-CN"/>
        </w:rPr>
        <w:t>本单位</w:t>
      </w:r>
      <w:r>
        <w:rPr>
          <w:rFonts w:hint="eastAsia" w:ascii="仿宋_GB2312" w:hAnsi="新宋体" w:eastAsia="仿宋_GB2312"/>
          <w:color w:val="auto"/>
          <w:sz w:val="32"/>
          <w:szCs w:val="32"/>
        </w:rPr>
        <w:t>制定</w:t>
      </w:r>
      <w:r>
        <w:rPr>
          <w:rFonts w:hint="eastAsia" w:ascii="仿宋_GB2312" w:hAnsi="新宋体" w:eastAsia="仿宋_GB2312"/>
          <w:color w:val="auto"/>
          <w:sz w:val="32"/>
          <w:szCs w:val="32"/>
          <w:lang w:eastAsia="zh-CN"/>
        </w:rPr>
        <w:t>了</w:t>
      </w:r>
      <w:r>
        <w:rPr>
          <w:rFonts w:hint="eastAsia" w:ascii="仿宋_GB2312" w:hAnsi="新宋体" w:eastAsia="仿宋_GB2312"/>
          <w:color w:val="auto"/>
          <w:sz w:val="32"/>
          <w:szCs w:val="32"/>
        </w:rPr>
        <w:t>详细</w:t>
      </w:r>
      <w:r>
        <w:rPr>
          <w:rFonts w:hint="eastAsia" w:ascii="仿宋_GB2312" w:hAnsi="新宋体" w:eastAsia="仿宋_GB2312"/>
          <w:color w:val="auto"/>
          <w:sz w:val="32"/>
          <w:szCs w:val="32"/>
          <w:lang w:eastAsia="zh-CN"/>
        </w:rPr>
        <w:t>的基本公共卫生服务</w:t>
      </w:r>
      <w:r>
        <w:rPr>
          <w:rFonts w:hint="eastAsia" w:ascii="仿宋_GB2312" w:hAnsi="新宋体" w:eastAsia="仿宋_GB2312"/>
          <w:color w:val="auto"/>
          <w:sz w:val="32"/>
          <w:szCs w:val="32"/>
        </w:rPr>
        <w:t>考核标准和实施细则</w:t>
      </w:r>
      <w:r>
        <w:rPr>
          <w:rFonts w:hint="eastAsia" w:ascii="仿宋_GB2312" w:hAnsi="新宋体" w:eastAsia="仿宋_GB2312"/>
          <w:color w:val="auto"/>
          <w:sz w:val="32"/>
          <w:szCs w:val="32"/>
          <w:lang w:eastAsia="zh-CN"/>
        </w:rPr>
        <w:t>，</w:t>
      </w:r>
      <w:r>
        <w:rPr>
          <w:rFonts w:hint="eastAsia" w:ascii="仿宋_GB2312" w:hAnsi="新宋体" w:eastAsia="仿宋_GB2312"/>
          <w:color w:val="auto"/>
          <w:sz w:val="32"/>
          <w:szCs w:val="32"/>
        </w:rPr>
        <w:t>量化工作指标，</w:t>
      </w:r>
      <w:r>
        <w:rPr>
          <w:rFonts w:hint="eastAsia" w:ascii="仿宋_GB2312" w:hAnsi="新宋体" w:eastAsia="仿宋_GB2312"/>
          <w:color w:val="auto"/>
          <w:sz w:val="32"/>
          <w:szCs w:val="32"/>
          <w:lang w:eastAsia="zh-CN"/>
        </w:rPr>
        <w:t>细化任务分解，</w:t>
      </w:r>
      <w:r>
        <w:rPr>
          <w:rFonts w:hint="eastAsia" w:ascii="仿宋_GB2312" w:hAnsi="仿宋_GB2312" w:eastAsia="仿宋_GB2312" w:cs="仿宋_GB2312"/>
          <w:color w:val="auto"/>
          <w:sz w:val="32"/>
          <w:szCs w:val="32"/>
          <w:lang w:val="en-US" w:eastAsia="zh-CN"/>
        </w:rPr>
        <w:t>始终坚持抓重点、突薄弱，把工作做真做实，</w:t>
      </w:r>
      <w:r>
        <w:rPr>
          <w:rFonts w:hint="eastAsia" w:ascii="仿宋_GB2312" w:hAnsi="新宋体" w:eastAsia="仿宋_GB2312"/>
          <w:color w:val="auto"/>
          <w:sz w:val="32"/>
          <w:szCs w:val="32"/>
          <w:lang w:eastAsia="zh-CN"/>
        </w:rPr>
        <w:t>积极组织开展</w:t>
      </w:r>
      <w:r>
        <w:rPr>
          <w:rFonts w:hint="eastAsia" w:ascii="仿宋_GB2312" w:hAnsi="新宋体" w:eastAsia="仿宋_GB2312"/>
          <w:color w:val="auto"/>
          <w:sz w:val="32"/>
          <w:szCs w:val="32"/>
        </w:rPr>
        <w:t>《国家基本公共卫生服务规范（第三版）》</w:t>
      </w:r>
      <w:r>
        <w:rPr>
          <w:rFonts w:hint="eastAsia" w:ascii="仿宋_GB2312" w:hAnsi="新宋体" w:eastAsia="仿宋_GB2312"/>
          <w:color w:val="auto"/>
          <w:sz w:val="32"/>
          <w:szCs w:val="32"/>
          <w:lang w:eastAsia="zh-CN"/>
        </w:rPr>
        <w:t>培训、慢性“四病”培训，</w:t>
      </w:r>
      <w:r>
        <w:rPr>
          <w:rFonts w:hint="eastAsia" w:ascii="仿宋_GB2312" w:hAnsi="新宋体" w:eastAsia="仿宋_GB2312"/>
          <w:color w:val="auto"/>
          <w:sz w:val="32"/>
          <w:szCs w:val="32"/>
        </w:rPr>
        <w:t>定期对各村卫生室</w:t>
      </w:r>
      <w:r>
        <w:rPr>
          <w:rFonts w:hint="eastAsia" w:ascii="仿宋_GB2312" w:hAnsi="新宋体" w:eastAsia="仿宋_GB2312"/>
          <w:color w:val="auto"/>
          <w:sz w:val="32"/>
          <w:szCs w:val="32"/>
          <w:lang w:eastAsia="zh-CN"/>
        </w:rPr>
        <w:t>、社区服务站</w:t>
      </w:r>
      <w:r>
        <w:rPr>
          <w:rFonts w:hint="eastAsia" w:ascii="仿宋_GB2312" w:hAnsi="新宋体" w:eastAsia="仿宋_GB2312"/>
          <w:color w:val="auto"/>
          <w:sz w:val="32"/>
          <w:szCs w:val="32"/>
        </w:rPr>
        <w:t>及公卫人员</w:t>
      </w:r>
      <w:r>
        <w:rPr>
          <w:rFonts w:hint="eastAsia" w:ascii="仿宋_GB2312" w:hAnsi="新宋体" w:eastAsia="仿宋_GB2312"/>
          <w:color w:val="auto"/>
          <w:sz w:val="32"/>
          <w:szCs w:val="32"/>
          <w:lang w:eastAsia="zh-CN"/>
        </w:rPr>
        <w:t>进行</w:t>
      </w:r>
      <w:r>
        <w:rPr>
          <w:rFonts w:hint="default" w:ascii="仿宋_GB2312" w:hAnsi="新宋体" w:eastAsia="仿宋_GB2312"/>
          <w:color w:val="auto"/>
          <w:sz w:val="32"/>
          <w:szCs w:val="32"/>
        </w:rPr>
        <w:t>督导考核</w:t>
      </w:r>
      <w:r>
        <w:rPr>
          <w:rFonts w:hint="eastAsia" w:ascii="仿宋_GB2312" w:hAnsi="新宋体" w:eastAsia="仿宋_GB2312"/>
          <w:color w:val="auto"/>
          <w:sz w:val="32"/>
          <w:szCs w:val="32"/>
          <w:lang w:eastAsia="zh-CN"/>
        </w:rPr>
        <w:t>并及时通报</w:t>
      </w:r>
      <w:r>
        <w:rPr>
          <w:rFonts w:hint="eastAsia" w:ascii="仿宋_GB2312" w:hAnsi="新宋体" w:eastAsia="仿宋_GB2312"/>
          <w:color w:val="auto"/>
          <w:sz w:val="32"/>
          <w:szCs w:val="32"/>
        </w:rPr>
        <w:t>，</w:t>
      </w:r>
      <w:r>
        <w:rPr>
          <w:rFonts w:hint="eastAsia" w:ascii="仿宋_GB2312" w:hAnsi="新宋体" w:eastAsia="仿宋_GB2312"/>
          <w:color w:val="auto"/>
          <w:sz w:val="32"/>
          <w:szCs w:val="32"/>
          <w:lang w:eastAsia="zh-CN"/>
        </w:rPr>
        <w:t>确保每项存在的问题都能有效整改，已按时</w:t>
      </w:r>
      <w:r>
        <w:rPr>
          <w:rFonts w:hint="eastAsia" w:ascii="仿宋_GB2312" w:hAnsi="新宋体" w:eastAsia="仿宋_GB2312"/>
          <w:color w:val="auto"/>
          <w:sz w:val="32"/>
          <w:szCs w:val="32"/>
        </w:rPr>
        <w:t>完成各项公共卫生工作</w:t>
      </w:r>
      <w:r>
        <w:rPr>
          <w:rFonts w:hint="default" w:ascii="仿宋_GB2312" w:hAnsi="新宋体" w:eastAsia="仿宋_GB2312"/>
          <w:color w:val="auto"/>
          <w:sz w:val="32"/>
          <w:szCs w:val="32"/>
        </w:rPr>
        <w:t>。</w:t>
      </w:r>
    </w:p>
    <w:p w14:paraId="6AF82717">
      <w:pPr>
        <w:keepNext w:val="0"/>
        <w:keepLines w:val="0"/>
        <w:pageBreakBefore w:val="0"/>
        <w:numPr>
          <w:ilvl w:val="0"/>
          <w:numId w:val="2"/>
        </w:numPr>
        <w:kinsoku/>
        <w:wordWrap/>
        <w:overflowPunct/>
        <w:topLinePunct w:val="0"/>
        <w:autoSpaceDE/>
        <w:autoSpaceDN/>
        <w:bidi w:val="0"/>
        <w:spacing w:line="560" w:lineRule="exact"/>
        <w:ind w:left="0" w:leftChars="0" w:firstLine="482" w:firstLineChars="150"/>
        <w:jc w:val="both"/>
        <w:textAlignment w:val="auto"/>
        <w:outlineLvl w:val="9"/>
        <w:rPr>
          <w:rFonts w:hint="eastAsia" w:ascii="仿宋_GB2312" w:eastAsia="仿宋_GB2312"/>
          <w:b/>
          <w:bCs/>
          <w:sz w:val="32"/>
          <w:szCs w:val="32"/>
        </w:rPr>
      </w:pPr>
      <w:r>
        <w:rPr>
          <w:rFonts w:hint="eastAsia" w:ascii="仿宋_GB2312" w:eastAsia="仿宋_GB2312"/>
          <w:b/>
          <w:bCs/>
          <w:sz w:val="32"/>
          <w:szCs w:val="32"/>
          <w:lang w:eastAsia="zh-CN"/>
        </w:rPr>
        <w:t>产出指标分析</w:t>
      </w:r>
    </w:p>
    <w:p w14:paraId="3DBA5DD3">
      <w:pPr>
        <w:numPr>
          <w:ilvl w:val="0"/>
          <w:numId w:val="0"/>
        </w:numPr>
        <w:ind w:firstLine="640"/>
        <w:jc w:val="both"/>
        <w:rPr>
          <w:rFonts w:hint="eastAsia" w:ascii="仿宋_GB2312" w:eastAsia="仿宋_GB2312"/>
          <w:color w:val="FF0000"/>
          <w:sz w:val="32"/>
          <w:szCs w:val="32"/>
          <w:lang w:val="en-US" w:eastAsia="zh-CN"/>
        </w:rPr>
      </w:pPr>
      <w:r>
        <w:rPr>
          <w:rFonts w:hint="eastAsia" w:ascii="楷体_GB2312" w:hAnsi="楷体_GB2312" w:eastAsia="楷体_GB2312" w:cs="楷体_GB2312"/>
          <w:b/>
          <w:bCs/>
          <w:color w:val="auto"/>
          <w:sz w:val="32"/>
          <w:szCs w:val="32"/>
        </w:rPr>
        <w:t>1</w:t>
      </w:r>
      <w:r>
        <w:rPr>
          <w:rFonts w:hint="eastAsia" w:ascii="楷体_GB2312" w:hAnsi="楷体_GB2312" w:eastAsia="楷体_GB2312" w:cs="楷体_GB2312"/>
          <w:b/>
          <w:bCs/>
          <w:color w:val="auto"/>
          <w:sz w:val="32"/>
          <w:szCs w:val="32"/>
          <w:lang w:val="en-US" w:eastAsia="zh-CN"/>
        </w:rPr>
        <w:t>.</w:t>
      </w:r>
      <w:r>
        <w:rPr>
          <w:rFonts w:hint="eastAsia" w:ascii="楷体_GB2312" w:hAnsi="楷体_GB2312" w:eastAsia="楷体_GB2312" w:cs="楷体_GB2312"/>
          <w:b/>
          <w:bCs/>
          <w:color w:val="auto"/>
          <w:sz w:val="32"/>
          <w:szCs w:val="32"/>
        </w:rPr>
        <w:t>居民健康档案管理</w:t>
      </w:r>
      <w:r>
        <w:rPr>
          <w:rFonts w:hint="eastAsia" w:ascii="楷体_GB2312" w:hAnsi="楷体_GB2312" w:eastAsia="楷体_GB2312" w:cs="楷体_GB2312"/>
          <w:b/>
          <w:bCs/>
          <w:color w:val="auto"/>
          <w:sz w:val="32"/>
          <w:szCs w:val="32"/>
          <w:lang w:eastAsia="zh-CN"/>
        </w:rPr>
        <w:t>。</w:t>
      </w:r>
      <w:r>
        <w:rPr>
          <w:rFonts w:hint="eastAsia" w:ascii="仿宋_GB2312" w:eastAsia="仿宋_GB2312"/>
          <w:color w:val="auto"/>
          <w:sz w:val="32"/>
          <w:szCs w:val="32"/>
          <w:lang w:val="en-US" w:eastAsia="zh-CN"/>
        </w:rPr>
        <w:t>目前</w:t>
      </w:r>
      <w:r>
        <w:rPr>
          <w:rFonts w:hint="eastAsia" w:ascii="仿宋_GB2312" w:eastAsia="仿宋_GB2312"/>
          <w:color w:val="auto"/>
          <w:sz w:val="32"/>
          <w:szCs w:val="32"/>
        </w:rPr>
        <w:t>共建立</w:t>
      </w:r>
      <w:r>
        <w:rPr>
          <w:rFonts w:hint="eastAsia" w:ascii="仿宋_GB2312" w:eastAsia="仿宋_GB2312"/>
          <w:color w:val="auto"/>
          <w:sz w:val="32"/>
          <w:szCs w:val="32"/>
          <w:lang w:eastAsia="zh-CN"/>
        </w:rPr>
        <w:t>辖区内城乡</w:t>
      </w:r>
      <w:r>
        <w:rPr>
          <w:rFonts w:hint="eastAsia" w:ascii="仿宋_GB2312" w:eastAsia="仿宋_GB2312"/>
          <w:color w:val="auto"/>
          <w:sz w:val="32"/>
          <w:szCs w:val="32"/>
        </w:rPr>
        <w:t>居民健康档案</w:t>
      </w:r>
      <w:r>
        <w:rPr>
          <w:rFonts w:hint="eastAsia" w:ascii="仿宋_GB2312" w:eastAsia="仿宋_GB2312"/>
          <w:color w:val="auto"/>
          <w:sz w:val="32"/>
          <w:szCs w:val="32"/>
          <w:lang w:val="en-US" w:eastAsia="zh-CN"/>
        </w:rPr>
        <w:t>65632</w:t>
      </w:r>
      <w:r>
        <w:rPr>
          <w:rFonts w:hint="eastAsia" w:ascii="仿宋_GB2312" w:eastAsia="仿宋_GB2312"/>
          <w:color w:val="auto"/>
          <w:sz w:val="32"/>
          <w:szCs w:val="32"/>
        </w:rPr>
        <w:t>份</w:t>
      </w:r>
      <w:r>
        <w:rPr>
          <w:rFonts w:hint="eastAsia" w:ascii="仿宋_GB2312" w:eastAsia="仿宋_GB2312"/>
          <w:color w:val="auto"/>
          <w:sz w:val="32"/>
          <w:szCs w:val="32"/>
          <w:lang w:val="en-US" w:eastAsia="zh-CN"/>
        </w:rPr>
        <w:t>,均按照国家基本公共卫生服务项目进行管理服务。</w:t>
      </w:r>
      <w:r>
        <w:rPr>
          <w:rFonts w:hint="eastAsia" w:ascii="楷体_GB2312" w:hAnsi="楷体_GB2312" w:eastAsia="楷体_GB2312" w:cs="楷体_GB2312"/>
          <w:b/>
          <w:bCs/>
          <w:color w:val="auto"/>
          <w:sz w:val="32"/>
          <w:szCs w:val="32"/>
        </w:rPr>
        <w:t>2</w:t>
      </w:r>
      <w:r>
        <w:rPr>
          <w:rFonts w:hint="eastAsia" w:ascii="楷体_GB2312" w:hAnsi="楷体_GB2312" w:eastAsia="楷体_GB2312" w:cs="楷体_GB2312"/>
          <w:b/>
          <w:bCs/>
          <w:color w:val="auto"/>
          <w:sz w:val="32"/>
          <w:szCs w:val="32"/>
          <w:lang w:val="en-US" w:eastAsia="zh-CN"/>
        </w:rPr>
        <w:t>.</w:t>
      </w:r>
      <w:r>
        <w:rPr>
          <w:rFonts w:hint="eastAsia" w:ascii="楷体_GB2312" w:hAnsi="楷体_GB2312" w:eastAsia="楷体_GB2312" w:cs="楷体_GB2312"/>
          <w:b/>
          <w:bCs/>
          <w:color w:val="auto"/>
          <w:sz w:val="32"/>
          <w:szCs w:val="32"/>
        </w:rPr>
        <w:t>健康教育</w:t>
      </w:r>
      <w:r>
        <w:rPr>
          <w:rFonts w:hint="eastAsia" w:ascii="楷体_GB2312" w:hAnsi="楷体_GB2312" w:eastAsia="楷体_GB2312" w:cs="楷体_GB2312"/>
          <w:b/>
          <w:bCs/>
          <w:color w:val="auto"/>
          <w:sz w:val="32"/>
          <w:szCs w:val="32"/>
          <w:lang w:eastAsia="zh-CN"/>
        </w:rPr>
        <w:t>。</w:t>
      </w:r>
      <w:r>
        <w:rPr>
          <w:rFonts w:hint="eastAsia" w:ascii="仿宋_GB2312" w:hAnsi="新宋体" w:eastAsia="仿宋_GB2312"/>
          <w:b/>
          <w:bCs/>
          <w:color w:val="000000" w:themeColor="text1"/>
          <w:sz w:val="32"/>
          <w:szCs w:val="32"/>
          <w:lang w:eastAsia="zh-CN"/>
        </w:rPr>
        <w:t>一是</w:t>
      </w:r>
      <w:r>
        <w:rPr>
          <w:rFonts w:hint="eastAsia" w:ascii="仿宋_GB2312" w:hAnsi="新宋体" w:eastAsia="仿宋_GB2312"/>
          <w:color w:val="000000" w:themeColor="text1"/>
          <w:sz w:val="32"/>
          <w:szCs w:val="32"/>
          <w:lang w:eastAsia="zh-CN"/>
        </w:rPr>
        <w:t>举办讲座</w:t>
      </w:r>
      <w:r>
        <w:rPr>
          <w:rFonts w:hint="eastAsia" w:ascii="仿宋_GB2312" w:hAnsi="新宋体" w:eastAsia="仿宋_GB2312"/>
          <w:color w:val="000000" w:themeColor="text1"/>
          <w:sz w:val="32"/>
          <w:szCs w:val="32"/>
          <w:lang w:val="en-US" w:eastAsia="zh-CN"/>
        </w:rPr>
        <w:t>23</w:t>
      </w:r>
      <w:r>
        <w:rPr>
          <w:rFonts w:hint="eastAsia" w:ascii="仿宋_GB2312" w:hAnsi="新宋体" w:eastAsia="仿宋_GB2312"/>
          <w:color w:val="000000" w:themeColor="text1"/>
          <w:sz w:val="32"/>
          <w:szCs w:val="32"/>
          <w:lang w:eastAsia="zh-CN"/>
        </w:rPr>
        <w:t>期，参与讲座的居民人数达</w:t>
      </w:r>
      <w:r>
        <w:rPr>
          <w:rFonts w:hint="eastAsia" w:ascii="仿宋_GB2312" w:hAnsi="新宋体" w:eastAsia="仿宋_GB2312"/>
          <w:color w:val="000000" w:themeColor="text1"/>
          <w:sz w:val="32"/>
          <w:szCs w:val="32"/>
          <w:lang w:val="en-US" w:eastAsia="zh-CN"/>
        </w:rPr>
        <w:t>3086</w:t>
      </w:r>
      <w:r>
        <w:rPr>
          <w:rFonts w:hint="eastAsia" w:ascii="仿宋_GB2312" w:hAnsi="新宋体" w:eastAsia="仿宋_GB2312"/>
          <w:color w:val="000000" w:themeColor="text1"/>
          <w:sz w:val="32"/>
          <w:szCs w:val="32"/>
          <w:lang w:eastAsia="zh-CN"/>
        </w:rPr>
        <w:t>人，</w:t>
      </w:r>
      <w:r>
        <w:rPr>
          <w:rFonts w:hint="eastAsia" w:ascii="仿宋_GB2312" w:hAnsi="新宋体" w:eastAsia="仿宋_GB2312"/>
          <w:b/>
          <w:bCs/>
          <w:color w:val="000000" w:themeColor="text1"/>
          <w:sz w:val="32"/>
          <w:szCs w:val="32"/>
          <w:lang w:eastAsia="zh-CN"/>
        </w:rPr>
        <w:t>二是</w:t>
      </w:r>
      <w:r>
        <w:rPr>
          <w:rFonts w:hint="eastAsia" w:ascii="仿宋_GB2312" w:hAnsi="新宋体" w:eastAsia="仿宋_GB2312"/>
          <w:color w:val="000000" w:themeColor="text1"/>
          <w:sz w:val="32"/>
          <w:szCs w:val="32"/>
          <w:lang w:eastAsia="zh-CN"/>
        </w:rPr>
        <w:t>开展公众咨询</w:t>
      </w:r>
      <w:r>
        <w:rPr>
          <w:rFonts w:hint="eastAsia" w:ascii="仿宋_GB2312" w:hAnsi="新宋体" w:eastAsia="仿宋_GB2312"/>
          <w:color w:val="000000" w:themeColor="text1"/>
          <w:sz w:val="32"/>
          <w:szCs w:val="32"/>
          <w:lang w:val="en-US" w:eastAsia="zh-CN"/>
        </w:rPr>
        <w:t>66</w:t>
      </w:r>
      <w:r>
        <w:rPr>
          <w:rFonts w:hint="eastAsia" w:ascii="仿宋_GB2312" w:hAnsi="新宋体" w:eastAsia="仿宋_GB2312"/>
          <w:color w:val="000000" w:themeColor="text1"/>
          <w:sz w:val="32"/>
          <w:szCs w:val="32"/>
          <w:lang w:eastAsia="zh-CN"/>
        </w:rPr>
        <w:t>期，接受咨询教育达</w:t>
      </w:r>
      <w:r>
        <w:rPr>
          <w:rFonts w:hint="eastAsia" w:ascii="仿宋_GB2312" w:hAnsi="新宋体" w:eastAsia="仿宋_GB2312"/>
          <w:color w:val="000000" w:themeColor="text1"/>
          <w:sz w:val="32"/>
          <w:szCs w:val="32"/>
          <w:lang w:val="en-US" w:eastAsia="zh-CN"/>
        </w:rPr>
        <w:t>61350</w:t>
      </w:r>
      <w:r>
        <w:rPr>
          <w:rFonts w:hint="eastAsia" w:ascii="仿宋_GB2312" w:hAnsi="新宋体" w:eastAsia="仿宋_GB2312"/>
          <w:color w:val="000000" w:themeColor="text1"/>
          <w:sz w:val="32"/>
          <w:szCs w:val="32"/>
          <w:lang w:eastAsia="zh-CN"/>
        </w:rPr>
        <w:t>人次。</w:t>
      </w:r>
      <w:r>
        <w:rPr>
          <w:rFonts w:hint="eastAsia" w:ascii="仿宋_GB2312" w:hAnsi="新宋体" w:eastAsia="仿宋_GB2312"/>
          <w:b/>
          <w:bCs/>
          <w:color w:val="000000" w:themeColor="text1"/>
          <w:sz w:val="32"/>
          <w:szCs w:val="32"/>
          <w:lang w:eastAsia="zh-CN"/>
        </w:rPr>
        <w:t>三是</w:t>
      </w:r>
      <w:r>
        <w:rPr>
          <w:rFonts w:hint="eastAsia" w:ascii="仿宋_GB2312" w:hAnsi="新宋体" w:eastAsia="仿宋_GB2312"/>
          <w:color w:val="000000" w:themeColor="text1"/>
          <w:sz w:val="32"/>
          <w:szCs w:val="32"/>
          <w:lang w:eastAsia="zh-CN"/>
        </w:rPr>
        <w:t>经统计，接受个体化健康教人群达</w:t>
      </w:r>
      <w:r>
        <w:rPr>
          <w:rFonts w:hint="eastAsia" w:ascii="仿宋_GB2312" w:hAnsi="新宋体" w:eastAsia="仿宋_GB2312"/>
          <w:color w:val="000000" w:themeColor="text1"/>
          <w:sz w:val="32"/>
          <w:szCs w:val="32"/>
          <w:lang w:val="en-US" w:eastAsia="zh-CN"/>
        </w:rPr>
        <w:t>62482</w:t>
      </w:r>
      <w:r>
        <w:rPr>
          <w:rFonts w:hint="eastAsia" w:ascii="仿宋_GB2312" w:hAnsi="新宋体" w:eastAsia="仿宋_GB2312"/>
          <w:color w:val="000000" w:themeColor="text1"/>
          <w:sz w:val="32"/>
          <w:szCs w:val="32"/>
          <w:lang w:eastAsia="zh-CN"/>
        </w:rPr>
        <w:t>人次。</w:t>
      </w:r>
      <w:r>
        <w:rPr>
          <w:rFonts w:hint="eastAsia" w:ascii="楷体_GB2312" w:hAnsi="楷体_GB2312" w:eastAsia="楷体_GB2312" w:cs="楷体_GB2312"/>
          <w:b/>
          <w:bCs/>
          <w:color w:val="auto"/>
          <w:sz w:val="32"/>
          <w:szCs w:val="32"/>
        </w:rPr>
        <w:t>3</w:t>
      </w:r>
      <w:r>
        <w:rPr>
          <w:rFonts w:hint="eastAsia" w:ascii="楷体_GB2312" w:hAnsi="楷体_GB2312" w:eastAsia="楷体_GB2312" w:cs="楷体_GB2312"/>
          <w:b/>
          <w:bCs/>
          <w:color w:val="auto"/>
          <w:sz w:val="32"/>
          <w:szCs w:val="32"/>
          <w:lang w:val="en-US" w:eastAsia="zh-CN"/>
        </w:rPr>
        <w:t>.</w:t>
      </w:r>
      <w:r>
        <w:rPr>
          <w:rFonts w:hint="eastAsia" w:ascii="楷体_GB2312" w:hAnsi="楷体_GB2312" w:eastAsia="楷体_GB2312" w:cs="楷体_GB2312"/>
          <w:b/>
          <w:bCs/>
          <w:color w:val="auto"/>
          <w:sz w:val="32"/>
          <w:szCs w:val="32"/>
        </w:rPr>
        <w:t>预防接种</w:t>
      </w:r>
      <w:r>
        <w:rPr>
          <w:rFonts w:hint="eastAsia" w:ascii="楷体_GB2312" w:hAnsi="楷体_GB2312" w:eastAsia="楷体_GB2312" w:cs="楷体_GB2312"/>
          <w:b/>
          <w:bCs/>
          <w:color w:val="auto"/>
          <w:sz w:val="32"/>
          <w:szCs w:val="32"/>
          <w:lang w:val="en-US" w:eastAsia="zh-CN"/>
        </w:rPr>
        <w:t>。</w:t>
      </w:r>
      <w:r>
        <w:rPr>
          <w:rFonts w:hint="eastAsia" w:ascii="仿宋_GB2312" w:hAnsi="仿宋_GB2312" w:eastAsia="仿宋_GB2312" w:cs="仿宋_GB2312"/>
          <w:color w:val="auto"/>
          <w:kern w:val="0"/>
          <w:sz w:val="32"/>
          <w:szCs w:val="32"/>
          <w:lang w:val="en-US" w:eastAsia="zh-CN"/>
        </w:rPr>
        <w:t>严格按照预防接种工作规范，做好免疫规划工作，加强</w:t>
      </w:r>
      <w:r>
        <w:rPr>
          <w:rFonts w:hint="eastAsia" w:ascii="仿宋_GB2312" w:hAnsi="仿宋_GB2312" w:eastAsia="仿宋_GB2312" w:cs="仿宋_GB2312"/>
          <w:color w:val="auto"/>
          <w:kern w:val="0"/>
          <w:sz w:val="32"/>
          <w:szCs w:val="32"/>
        </w:rPr>
        <w:t>冷链管理</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为我镇儿童提供安全、有效、免费、均等化的免疫规划疫苗的预防接种服务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新生儿建卡率、建证率、卡证符合率都达到</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w:t>
      </w:r>
      <w:r>
        <w:rPr>
          <w:rFonts w:hint="eastAsia" w:ascii="楷体_GB2312" w:hAnsi="楷体_GB2312" w:eastAsia="楷体_GB2312" w:cs="楷体_GB2312"/>
          <w:b/>
          <w:bCs/>
          <w:color w:val="auto"/>
          <w:sz w:val="32"/>
          <w:szCs w:val="32"/>
        </w:rPr>
        <w:t>4.0-6岁儿童保健管理</w:t>
      </w:r>
      <w:r>
        <w:rPr>
          <w:rFonts w:hint="eastAsia" w:ascii="楷体_GB2312" w:hAnsi="楷体_GB2312" w:eastAsia="楷体_GB2312" w:cs="楷体_GB2312"/>
          <w:b/>
          <w:bCs/>
          <w:color w:val="auto"/>
          <w:sz w:val="32"/>
          <w:szCs w:val="32"/>
          <w:lang w:eastAsia="zh-CN"/>
        </w:rPr>
        <w:t>。</w:t>
      </w:r>
      <w:r>
        <w:rPr>
          <w:rFonts w:hint="eastAsia" w:ascii="仿宋_GB2312" w:hAnsi="仿宋_GB2312" w:eastAsia="仿宋_GB2312" w:cs="仿宋_GB2312"/>
          <w:color w:val="auto"/>
          <w:kern w:val="0"/>
          <w:sz w:val="32"/>
          <w:szCs w:val="32"/>
        </w:rPr>
        <w:t>加强儿童保健工作，针对儿童不同的生长发育阶段，为其提供生长发育评估、体格检查、辅助检查、健康指导等服务，及时发现与治疗影响儿童健康的疾病，逐步提高儿童健康水平。</w:t>
      </w:r>
      <w:r>
        <w:rPr>
          <w:rFonts w:hint="eastAsia" w:ascii="楷体_GB2312" w:hAnsi="楷体_GB2312" w:eastAsia="楷体_GB2312" w:cs="楷体_GB2312"/>
          <w:b/>
          <w:bCs/>
          <w:color w:val="auto"/>
          <w:sz w:val="32"/>
          <w:szCs w:val="32"/>
        </w:rPr>
        <w:t>5.孕产妇管理健康</w:t>
      </w:r>
      <w:r>
        <w:rPr>
          <w:rFonts w:hint="eastAsia" w:ascii="楷体_GB2312" w:hAnsi="楷体_GB2312" w:eastAsia="楷体_GB2312" w:cs="楷体_GB2312"/>
          <w:b/>
          <w:bCs/>
          <w:color w:val="auto"/>
          <w:sz w:val="32"/>
          <w:szCs w:val="32"/>
          <w:lang w:eastAsia="zh-CN"/>
        </w:rPr>
        <w:t>。</w:t>
      </w:r>
      <w:r>
        <w:rPr>
          <w:rFonts w:hint="eastAsia" w:ascii="仿宋_GB2312" w:hAnsi="仿宋_GB2312" w:eastAsia="仿宋_GB2312" w:cs="仿宋_GB2312"/>
          <w:color w:val="auto"/>
          <w:kern w:val="0"/>
          <w:sz w:val="32"/>
          <w:szCs w:val="32"/>
        </w:rPr>
        <w:t>规范孕产妇保健服务，做好早孕建册、产前检查</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产后访视</w:t>
      </w:r>
      <w:r>
        <w:rPr>
          <w:rFonts w:hint="eastAsia" w:ascii="仿宋_GB2312" w:hAnsi="仿宋_GB2312" w:eastAsia="仿宋_GB2312" w:cs="仿宋_GB2312"/>
          <w:color w:val="auto"/>
          <w:kern w:val="0"/>
          <w:sz w:val="32"/>
          <w:szCs w:val="32"/>
          <w:lang w:eastAsia="zh-CN"/>
        </w:rPr>
        <w:t>及</w:t>
      </w:r>
      <w:r>
        <w:rPr>
          <w:rFonts w:hint="eastAsia" w:ascii="仿宋_GB2312" w:hAnsi="仿宋_GB2312" w:eastAsia="仿宋_GB2312" w:cs="仿宋_GB2312"/>
          <w:color w:val="auto"/>
          <w:kern w:val="0"/>
          <w:sz w:val="32"/>
          <w:szCs w:val="32"/>
        </w:rPr>
        <w:t>高危孕产妇的筛查、追踪、随访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转诊等工作。广泛深入开展健康宣教</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提高早孕建档率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及时发放叶酸，降低孕产妇死亡的风险。</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kern w:val="0"/>
          <w:sz w:val="32"/>
          <w:szCs w:val="32"/>
        </w:rPr>
        <w:t>6</w:t>
      </w:r>
      <w:r>
        <w:rPr>
          <w:rFonts w:hint="eastAsia" w:ascii="仿宋_GB2312" w:hAnsi="仿宋_GB2312" w:eastAsia="仿宋_GB2312" w:cs="仿宋_GB2312"/>
          <w:b/>
          <w:bCs/>
          <w:color w:val="auto"/>
          <w:kern w:val="0"/>
          <w:sz w:val="32"/>
          <w:szCs w:val="32"/>
          <w:lang w:val="en-US" w:eastAsia="zh-CN"/>
        </w:rPr>
        <w:t>.</w:t>
      </w:r>
      <w:r>
        <w:rPr>
          <w:rFonts w:hint="eastAsia" w:ascii="楷体_GB2312" w:hAnsi="楷体_GB2312" w:eastAsia="楷体_GB2312" w:cs="楷体_GB2312"/>
          <w:b/>
          <w:bCs/>
          <w:color w:val="auto"/>
          <w:sz w:val="32"/>
          <w:szCs w:val="32"/>
        </w:rPr>
        <w:t>老年人健康管理</w:t>
      </w:r>
      <w:r>
        <w:rPr>
          <w:rFonts w:hint="eastAsia" w:ascii="楷体_GB2312" w:hAnsi="楷体_GB2312" w:eastAsia="楷体_GB2312" w:cs="楷体_GB2312"/>
          <w:b/>
          <w:bCs/>
          <w:color w:val="auto"/>
          <w:sz w:val="32"/>
          <w:szCs w:val="32"/>
          <w:lang w:eastAsia="zh-CN"/>
        </w:rPr>
        <w:t>。</w:t>
      </w:r>
      <w:r>
        <w:rPr>
          <w:rFonts w:hint="eastAsia" w:ascii="仿宋_GB2312" w:hAnsi="仿宋_GB2312" w:eastAsia="仿宋_GB2312" w:cs="仿宋_GB2312"/>
          <w:color w:val="auto"/>
          <w:kern w:val="0"/>
          <w:sz w:val="32"/>
          <w:szCs w:val="32"/>
          <w:lang w:val="en-US" w:eastAsia="zh-CN"/>
        </w:rPr>
        <w:t>我院</w:t>
      </w:r>
      <w:r>
        <w:rPr>
          <w:rFonts w:hint="eastAsia" w:ascii="仿宋_GB2312" w:eastAsia="仿宋_GB2312"/>
          <w:color w:val="auto"/>
          <w:sz w:val="32"/>
          <w:szCs w:val="32"/>
        </w:rPr>
        <w:t>积极响应省政府为民办实事项目要求，</w:t>
      </w:r>
      <w:r>
        <w:rPr>
          <w:rFonts w:hint="eastAsia" w:ascii="仿宋_GB2312" w:eastAsia="仿宋_GB2312"/>
          <w:color w:val="auto"/>
          <w:sz w:val="32"/>
          <w:szCs w:val="32"/>
          <w:lang w:eastAsia="zh-CN"/>
        </w:rPr>
        <w:t>通过开展集中体检、下村巡回体检，</w:t>
      </w:r>
      <w:r>
        <w:rPr>
          <w:rFonts w:hint="eastAsia" w:ascii="仿宋_GB2312" w:hAnsi="仿宋_GB2312" w:eastAsia="仿宋_GB2312" w:cs="仿宋_GB2312"/>
          <w:color w:val="auto"/>
          <w:kern w:val="0"/>
          <w:sz w:val="32"/>
          <w:szCs w:val="32"/>
          <w:lang w:eastAsia="zh-CN"/>
        </w:rPr>
        <w:t>针对</w:t>
      </w:r>
      <w:r>
        <w:rPr>
          <w:rFonts w:hint="eastAsia" w:ascii="仿宋_GB2312" w:hAnsi="仿宋_GB2312" w:eastAsia="仿宋_GB2312" w:cs="仿宋_GB2312"/>
          <w:color w:val="auto"/>
          <w:kern w:val="0"/>
          <w:sz w:val="32"/>
          <w:szCs w:val="32"/>
          <w:lang w:val="en-US" w:eastAsia="zh-CN"/>
        </w:rPr>
        <w:t>老、弱、病、残等</w:t>
      </w:r>
      <w:r>
        <w:rPr>
          <w:rFonts w:hint="eastAsia" w:ascii="仿宋_GB2312" w:hAnsi="仿宋_GB2312" w:eastAsia="仿宋_GB2312" w:cs="仿宋_GB2312"/>
          <w:color w:val="auto"/>
          <w:kern w:val="0"/>
          <w:sz w:val="32"/>
          <w:szCs w:val="32"/>
        </w:rPr>
        <w:t>困难群体，</w:t>
      </w:r>
      <w:r>
        <w:rPr>
          <w:rFonts w:hint="eastAsia" w:ascii="仿宋_GB2312" w:eastAsia="仿宋_GB2312"/>
          <w:color w:val="auto"/>
          <w:sz w:val="32"/>
          <w:szCs w:val="32"/>
        </w:rPr>
        <w:t>开启“敲门”行动</w:t>
      </w:r>
      <w:r>
        <w:rPr>
          <w:rFonts w:hint="eastAsia" w:ascii="仿宋_GB2312" w:eastAsia="仿宋_GB2312"/>
          <w:color w:val="auto"/>
          <w:sz w:val="32"/>
          <w:szCs w:val="32"/>
          <w:lang w:eastAsia="zh-CN"/>
        </w:rPr>
        <w:t>入户体检服务</w:t>
      </w:r>
      <w:r>
        <w:rPr>
          <w:rFonts w:hint="eastAsia" w:ascii="仿宋_GB2312" w:eastAsia="仿宋_GB2312"/>
          <w:color w:val="auto"/>
          <w:sz w:val="32"/>
          <w:szCs w:val="32"/>
        </w:rPr>
        <w:t>。</w:t>
      </w:r>
      <w:r>
        <w:rPr>
          <w:rFonts w:hint="eastAsia" w:ascii="楷体_GB2312" w:hAnsi="楷体_GB2312" w:eastAsia="楷体_GB2312" w:cs="楷体_GB2312"/>
          <w:b/>
          <w:bCs/>
          <w:color w:val="auto"/>
          <w:sz w:val="32"/>
          <w:szCs w:val="32"/>
        </w:rPr>
        <w:t>7</w:t>
      </w:r>
      <w:r>
        <w:rPr>
          <w:rFonts w:hint="eastAsia" w:ascii="楷体_GB2312" w:hAnsi="楷体_GB2312" w:eastAsia="楷体_GB2312" w:cs="楷体_GB2312"/>
          <w:b/>
          <w:bCs/>
          <w:color w:val="auto"/>
          <w:sz w:val="32"/>
          <w:szCs w:val="32"/>
          <w:lang w:val="en-US" w:eastAsia="zh-CN"/>
        </w:rPr>
        <w:t>.</w:t>
      </w:r>
      <w:r>
        <w:rPr>
          <w:rFonts w:hint="eastAsia" w:ascii="楷体_GB2312" w:hAnsi="楷体_GB2312" w:eastAsia="楷体_GB2312" w:cs="楷体_GB2312"/>
          <w:b/>
          <w:bCs/>
          <w:color w:val="auto"/>
          <w:sz w:val="32"/>
          <w:szCs w:val="32"/>
        </w:rPr>
        <w:t>慢性病患者健康</w:t>
      </w:r>
      <w:r>
        <w:rPr>
          <w:rFonts w:hint="eastAsia" w:ascii="楷体_GB2312" w:hAnsi="楷体_GB2312" w:eastAsia="楷体_GB2312" w:cs="楷体_GB2312"/>
          <w:b/>
          <w:bCs/>
          <w:color w:val="auto"/>
          <w:sz w:val="32"/>
          <w:szCs w:val="32"/>
          <w:lang w:val="en-US" w:eastAsia="zh-CN"/>
        </w:rPr>
        <w:t>管理。</w:t>
      </w:r>
      <w:r>
        <w:rPr>
          <w:rFonts w:hint="eastAsia" w:ascii="仿宋_GB2312" w:hAnsi="仿宋_GB2312" w:eastAsia="仿宋_GB2312" w:cs="仿宋_GB2312"/>
          <w:color w:val="auto"/>
          <w:kern w:val="0"/>
          <w:sz w:val="32"/>
          <w:szCs w:val="32"/>
          <w:lang w:val="en-US" w:eastAsia="zh-CN"/>
        </w:rPr>
        <w:t>通过开展35岁及以上居民首诊测血压、健康体检等方式，对确诊高血压和糖尿病患者进行登记管理，规范提供面对面随访，根据血压、血糖控制情况，给予用药、饮食、运动、心理等方面的健康指导，同时提供每年一次的全面健康体检。</w:t>
      </w:r>
      <w:r>
        <w:rPr>
          <w:rFonts w:hint="eastAsia" w:ascii="楷体_GB2312" w:hAnsi="楷体_GB2312" w:eastAsia="楷体_GB2312" w:cs="楷体_GB2312"/>
          <w:b/>
          <w:bCs/>
          <w:color w:val="auto"/>
          <w:sz w:val="32"/>
          <w:szCs w:val="32"/>
        </w:rPr>
        <w:t>8</w:t>
      </w:r>
      <w:r>
        <w:rPr>
          <w:rFonts w:hint="eastAsia" w:ascii="楷体_GB2312" w:hAnsi="楷体_GB2312" w:eastAsia="楷体_GB2312" w:cs="楷体_GB2312"/>
          <w:b/>
          <w:bCs/>
          <w:color w:val="auto"/>
          <w:sz w:val="32"/>
          <w:szCs w:val="32"/>
          <w:lang w:val="en-US" w:eastAsia="zh-CN"/>
        </w:rPr>
        <w:t>.</w:t>
      </w:r>
      <w:r>
        <w:rPr>
          <w:rFonts w:hint="eastAsia" w:ascii="楷体_GB2312" w:hAnsi="楷体_GB2312" w:eastAsia="楷体_GB2312" w:cs="楷体_GB2312"/>
          <w:b/>
          <w:bCs/>
          <w:color w:val="auto"/>
          <w:sz w:val="32"/>
          <w:szCs w:val="32"/>
        </w:rPr>
        <w:t>严重精神障碍患者健康管理</w:t>
      </w:r>
      <w:r>
        <w:rPr>
          <w:rFonts w:hint="eastAsia" w:ascii="楷体_GB2312" w:hAnsi="楷体_GB2312" w:eastAsia="楷体_GB2312" w:cs="楷体_GB2312"/>
          <w:b/>
          <w:bCs/>
          <w:color w:val="auto"/>
          <w:sz w:val="32"/>
          <w:szCs w:val="32"/>
          <w:lang w:val="en-US" w:eastAsia="zh-CN"/>
        </w:rPr>
        <w:t>。</w:t>
      </w:r>
      <w:r>
        <w:rPr>
          <w:rFonts w:hint="eastAsia" w:ascii="仿宋_GB2312" w:hAnsi="仿宋_GB2312" w:eastAsia="仿宋_GB2312" w:cs="仿宋_GB2312"/>
          <w:color w:val="auto"/>
          <w:kern w:val="0"/>
          <w:sz w:val="32"/>
          <w:szCs w:val="32"/>
          <w:lang w:val="en-US" w:eastAsia="zh-CN"/>
        </w:rPr>
        <w:t>规范对辖区严重精神障碍患者进行登记管理，在专业机构指导下对登记管理的每一名患者入户健康随访，组织有针对性、多方位、深层次的宣传，引导全社会对重性精神疾病患者管理工作的关注与参与。</w:t>
      </w:r>
      <w:r>
        <w:rPr>
          <w:rFonts w:hint="eastAsia" w:ascii="楷体_GB2312" w:hAnsi="楷体_GB2312" w:eastAsia="楷体_GB2312" w:cs="楷体_GB2312"/>
          <w:b/>
          <w:bCs/>
          <w:color w:val="auto"/>
          <w:sz w:val="32"/>
          <w:szCs w:val="32"/>
        </w:rPr>
        <w:t>9</w:t>
      </w:r>
      <w:r>
        <w:rPr>
          <w:rFonts w:hint="eastAsia" w:ascii="楷体_GB2312" w:hAnsi="楷体_GB2312" w:eastAsia="楷体_GB2312" w:cs="楷体_GB2312"/>
          <w:b/>
          <w:bCs/>
          <w:color w:val="auto"/>
          <w:sz w:val="32"/>
          <w:szCs w:val="32"/>
          <w:lang w:val="en-US" w:eastAsia="zh-CN"/>
        </w:rPr>
        <w:t>.</w:t>
      </w:r>
      <w:r>
        <w:rPr>
          <w:rFonts w:hint="eastAsia" w:ascii="楷体_GB2312" w:hAnsi="楷体_GB2312" w:eastAsia="楷体_GB2312" w:cs="楷体_GB2312"/>
          <w:b/>
          <w:bCs/>
          <w:color w:val="auto"/>
          <w:sz w:val="32"/>
          <w:szCs w:val="32"/>
        </w:rPr>
        <w:t>传染病及突发公共卫生事件报告和处理</w:t>
      </w:r>
      <w:r>
        <w:rPr>
          <w:rFonts w:hint="eastAsia" w:ascii="楷体_GB2312" w:hAnsi="楷体_GB2312" w:eastAsia="楷体_GB2312" w:cs="楷体_GB2312"/>
          <w:b/>
          <w:bCs/>
          <w:color w:val="auto"/>
          <w:sz w:val="32"/>
          <w:szCs w:val="32"/>
          <w:lang w:val="en-US" w:eastAsia="zh-CN"/>
        </w:rPr>
        <w:t>。</w:t>
      </w:r>
      <w:r>
        <w:rPr>
          <w:rFonts w:hint="eastAsia" w:ascii="仿宋_GB2312" w:hAnsi="仿宋_GB2312" w:eastAsia="仿宋_GB2312" w:cs="仿宋_GB2312"/>
          <w:color w:val="auto"/>
          <w:kern w:val="0"/>
          <w:sz w:val="32"/>
          <w:szCs w:val="32"/>
          <w:lang w:val="en-US" w:eastAsia="zh-CN"/>
        </w:rPr>
        <w:t>依据《传染病防治法》、《传染病信息报告管理规范》以及突发公共卫生事件报告及处理规范要求，</w:t>
      </w:r>
      <w:r>
        <w:rPr>
          <w:rFonts w:hint="default" w:ascii="仿宋_GB2312" w:hAnsi="仿宋_GB2312" w:eastAsia="仿宋_GB2312" w:cs="仿宋_GB2312"/>
          <w:color w:val="auto"/>
          <w:sz w:val="32"/>
          <w:szCs w:val="32"/>
          <w:lang w:val="en-US" w:eastAsia="zh-CN"/>
        </w:rPr>
        <w:t>及时发现、登记并报告</w:t>
      </w:r>
      <w:r>
        <w:rPr>
          <w:rFonts w:hint="eastAsia" w:ascii="仿宋_GB2312" w:hAnsi="仿宋_GB2312" w:eastAsia="仿宋_GB2312" w:cs="仿宋_GB2312"/>
          <w:color w:val="auto"/>
          <w:kern w:val="0"/>
          <w:sz w:val="32"/>
          <w:szCs w:val="32"/>
          <w:lang w:val="en-US" w:eastAsia="zh-CN"/>
        </w:rPr>
        <w:t>报告传染病，传染病报告率、及时率、准确率均达100%。</w:t>
      </w:r>
      <w:r>
        <w:rPr>
          <w:rFonts w:hint="eastAsia" w:ascii="楷体_GB2312" w:hAnsi="楷体_GB2312" w:eastAsia="楷体_GB2312" w:cs="楷体_GB2312"/>
          <w:b/>
          <w:bCs/>
          <w:color w:val="auto"/>
          <w:sz w:val="32"/>
          <w:szCs w:val="32"/>
          <w:lang w:val="en-US" w:eastAsia="zh-CN"/>
        </w:rPr>
        <w:t>10.</w:t>
      </w:r>
      <w:r>
        <w:rPr>
          <w:rFonts w:hint="eastAsia" w:ascii="楷体_GB2312" w:hAnsi="楷体_GB2312" w:eastAsia="楷体_GB2312" w:cs="楷体_GB2312"/>
          <w:b/>
          <w:bCs/>
          <w:color w:val="auto"/>
          <w:sz w:val="32"/>
          <w:szCs w:val="32"/>
          <w:lang w:eastAsia="zh-CN"/>
        </w:rPr>
        <w:t>结核病患者健康管理。</w:t>
      </w:r>
      <w:r>
        <w:rPr>
          <w:rFonts w:hint="eastAsia" w:ascii="仿宋_GB2312" w:hAnsi="仿宋_GB2312" w:eastAsia="仿宋_GB2312" w:cs="仿宋_GB2312"/>
          <w:color w:val="auto"/>
          <w:kern w:val="0"/>
          <w:sz w:val="32"/>
          <w:szCs w:val="32"/>
          <w:lang w:val="en-US" w:eastAsia="zh-CN"/>
        </w:rPr>
        <w:t>2023年我院登记管理结核病患者15例</w:t>
      </w:r>
      <w:r>
        <w:rPr>
          <w:rFonts w:hint="eastAsia" w:ascii="仿宋_GB2312" w:hAnsi="仿宋_GB2312" w:eastAsia="仿宋_GB2312" w:cs="仿宋_GB2312"/>
          <w:color w:val="auto"/>
          <w:sz w:val="32"/>
          <w:szCs w:val="32"/>
        </w:rPr>
        <w:t>全年DOTS覆盖率达100%。</w:t>
      </w:r>
      <w:r>
        <w:rPr>
          <w:rFonts w:hint="eastAsia" w:ascii="楷体_GB2312" w:hAnsi="楷体_GB2312" w:eastAsia="楷体_GB2312" w:cs="楷体_GB2312"/>
          <w:b/>
          <w:bCs/>
          <w:color w:val="auto"/>
          <w:kern w:val="2"/>
          <w:sz w:val="32"/>
          <w:szCs w:val="32"/>
          <w:lang w:val="en-US" w:eastAsia="zh-CN" w:bidi="ar-SA"/>
        </w:rPr>
        <w:t>11.卫生监督协管工作。</w:t>
      </w:r>
      <w:r>
        <w:rPr>
          <w:rFonts w:hint="eastAsia" w:ascii="仿宋_GB2312" w:eastAsia="仿宋_GB2312"/>
          <w:color w:val="auto"/>
          <w:sz w:val="32"/>
          <w:szCs w:val="32"/>
        </w:rPr>
        <w:t>紧紧围绕以保证人民群众食品安全、学校卫生</w:t>
      </w:r>
      <w:r>
        <w:rPr>
          <w:rFonts w:hint="eastAsia" w:ascii="仿宋_GB2312" w:eastAsia="仿宋_GB2312"/>
          <w:color w:val="auto"/>
          <w:sz w:val="32"/>
          <w:szCs w:val="32"/>
          <w:lang w:eastAsia="zh-CN"/>
        </w:rPr>
        <w:t>、</w:t>
      </w:r>
      <w:r>
        <w:rPr>
          <w:rFonts w:hint="eastAsia" w:ascii="仿宋_GB2312" w:eastAsia="仿宋_GB2312"/>
          <w:color w:val="auto"/>
          <w:sz w:val="32"/>
          <w:szCs w:val="32"/>
        </w:rPr>
        <w:t>公共场所卫生</w:t>
      </w:r>
      <w:r>
        <w:rPr>
          <w:rFonts w:hint="eastAsia" w:ascii="仿宋_GB2312" w:eastAsia="仿宋_GB2312"/>
          <w:color w:val="auto"/>
          <w:sz w:val="32"/>
          <w:szCs w:val="32"/>
          <w:lang w:eastAsia="zh-CN"/>
        </w:rPr>
        <w:t>、</w:t>
      </w:r>
      <w:r>
        <w:rPr>
          <w:rFonts w:hint="eastAsia" w:ascii="仿宋_GB2312" w:eastAsia="仿宋_GB2312"/>
          <w:color w:val="auto"/>
          <w:sz w:val="32"/>
          <w:szCs w:val="32"/>
        </w:rPr>
        <w:t>非法行医等工作出发点，</w:t>
      </w:r>
      <w:r>
        <w:rPr>
          <w:rFonts w:hint="eastAsia" w:ascii="仿宋_GB2312" w:hAnsi="仿宋_GB2312" w:eastAsia="仿宋_GB2312" w:cs="仿宋_GB2312"/>
          <w:b w:val="0"/>
          <w:bCs w:val="0"/>
          <w:color w:val="auto"/>
          <w:sz w:val="32"/>
          <w:szCs w:val="32"/>
          <w:lang w:val="en-US" w:eastAsia="zh-CN"/>
        </w:rPr>
        <w:t>其管理率100%。</w:t>
      </w:r>
      <w:r>
        <w:rPr>
          <w:rFonts w:hint="eastAsia" w:ascii="楷体_GB2312" w:hAnsi="楷体_GB2312" w:eastAsia="楷体_GB2312" w:cs="楷体_GB2312"/>
          <w:b/>
          <w:bCs/>
          <w:color w:val="auto"/>
          <w:kern w:val="2"/>
          <w:sz w:val="32"/>
          <w:szCs w:val="32"/>
          <w:lang w:val="en-US" w:eastAsia="zh-CN" w:bidi="ar-SA"/>
        </w:rPr>
        <w:t>12.中医药健康管理</w:t>
      </w:r>
      <w:r>
        <w:rPr>
          <w:rFonts w:hint="eastAsia" w:ascii="楷体" w:hAnsi="楷体" w:eastAsia="楷体" w:cs="楷体"/>
          <w:b/>
          <w:bCs/>
          <w:color w:val="auto"/>
          <w:sz w:val="32"/>
          <w:szCs w:val="32"/>
          <w:lang w:val="en-US" w:eastAsia="zh-CN"/>
        </w:rPr>
        <w:t>。</w:t>
      </w:r>
      <w:r>
        <w:rPr>
          <w:rFonts w:hint="eastAsia" w:ascii="仿宋_GB2312" w:hAnsi="仿宋" w:eastAsia="仿宋_GB2312"/>
          <w:color w:val="auto"/>
          <w:sz w:val="32"/>
          <w:szCs w:val="32"/>
          <w:lang w:eastAsia="zh-CN"/>
        </w:rPr>
        <w:t>及</w:t>
      </w:r>
      <w:r>
        <w:rPr>
          <w:rFonts w:hint="eastAsia" w:ascii="仿宋_GB2312" w:hAnsi="仿宋_GB2312" w:eastAsia="仿宋_GB2312" w:cs="仿宋_GB2312"/>
          <w:color w:val="auto"/>
          <w:sz w:val="32"/>
          <w:szCs w:val="32"/>
          <w:lang w:eastAsia="zh-CN"/>
        </w:rPr>
        <w:t>时对辖区内65岁及以上老年人从情志调摄、饮食调养、起居调摄、运动保健、穴位保健等方面提供进行相应的中医药保健指导，</w:t>
      </w:r>
      <w:r>
        <w:rPr>
          <w:rFonts w:hint="eastAsia" w:ascii="仿宋_GB2312" w:hAnsi="仿宋_GB2312" w:eastAsia="仿宋_GB2312" w:cs="仿宋_GB2312"/>
          <w:color w:val="auto"/>
          <w:kern w:val="0"/>
          <w:sz w:val="32"/>
          <w:szCs w:val="32"/>
          <w:lang w:eastAsia="zh-CN"/>
        </w:rPr>
        <w:t>向儿童监护人指导培训儿童捏脊疗法、摩腹、四神聪、迎香穴、足三里等穴位的按揉手法，提升中医药服务能力。</w:t>
      </w:r>
    </w:p>
    <w:p w14:paraId="07A42B48">
      <w:pPr>
        <w:keepNext w:val="0"/>
        <w:keepLines w:val="0"/>
        <w:pageBreakBefore w:val="0"/>
        <w:numPr>
          <w:ilvl w:val="0"/>
          <w:numId w:val="2"/>
        </w:numPr>
        <w:kinsoku/>
        <w:wordWrap/>
        <w:overflowPunct/>
        <w:topLinePunct w:val="0"/>
        <w:autoSpaceDE/>
        <w:autoSpaceDN/>
        <w:bidi w:val="0"/>
        <w:spacing w:line="560" w:lineRule="exact"/>
        <w:ind w:left="0" w:leftChars="0" w:firstLine="482" w:firstLineChars="150"/>
        <w:jc w:val="both"/>
        <w:textAlignment w:val="auto"/>
        <w:outlineLvl w:val="9"/>
        <w:rPr>
          <w:rFonts w:hint="eastAsia" w:ascii="仿宋_GB2312" w:eastAsia="仿宋_GB2312"/>
          <w:b/>
          <w:bCs/>
          <w:sz w:val="32"/>
          <w:szCs w:val="32"/>
          <w:lang w:eastAsia="zh-CN"/>
        </w:rPr>
      </w:pPr>
      <w:r>
        <w:rPr>
          <w:rFonts w:hint="eastAsia" w:ascii="仿宋_GB2312" w:eastAsia="仿宋_GB2312"/>
          <w:b/>
          <w:bCs/>
          <w:sz w:val="32"/>
          <w:szCs w:val="32"/>
          <w:lang w:eastAsia="zh-CN"/>
        </w:rPr>
        <w:t>效益指标分析</w:t>
      </w:r>
    </w:p>
    <w:p w14:paraId="566201FF">
      <w:pPr>
        <w:keepNext w:val="0"/>
        <w:keepLines w:val="0"/>
        <w:pageBreakBefore w:val="0"/>
        <w:numPr>
          <w:ilvl w:val="0"/>
          <w:numId w:val="0"/>
        </w:numPr>
        <w:kinsoku/>
        <w:wordWrap/>
        <w:overflowPunct/>
        <w:topLinePunct w:val="0"/>
        <w:autoSpaceDE/>
        <w:autoSpaceDN/>
        <w:bidi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国家基本公共卫生服务项目的实施，通过普及居民健康素养知识、提高居民健康意识，改变不良生活方式，保障了辖区内居民的身体健康状况，享受了基本公共卫生服务，提高了居民自我健康认知度，得到了社会公众的满意认可，同时提高了村医的收入待遇。</w:t>
      </w:r>
    </w:p>
    <w:p w14:paraId="64B257EC">
      <w:pPr>
        <w:keepNext w:val="0"/>
        <w:keepLines w:val="0"/>
        <w:pageBreakBefore w:val="0"/>
        <w:numPr>
          <w:ilvl w:val="0"/>
          <w:numId w:val="2"/>
        </w:numPr>
        <w:kinsoku/>
        <w:wordWrap/>
        <w:overflowPunct/>
        <w:topLinePunct w:val="0"/>
        <w:autoSpaceDE/>
        <w:autoSpaceDN/>
        <w:bidi w:val="0"/>
        <w:spacing w:line="560" w:lineRule="exact"/>
        <w:ind w:left="0" w:leftChars="0" w:firstLine="482" w:firstLineChars="150"/>
        <w:jc w:val="both"/>
        <w:textAlignment w:val="auto"/>
        <w:outlineLvl w:val="9"/>
        <w:rPr>
          <w:rFonts w:hint="eastAsia" w:ascii="仿宋_GB2312" w:eastAsia="仿宋_GB2312"/>
          <w:b/>
          <w:bCs/>
          <w:sz w:val="32"/>
          <w:szCs w:val="32"/>
          <w:lang w:eastAsia="zh-CN"/>
        </w:rPr>
      </w:pPr>
      <w:r>
        <w:rPr>
          <w:rFonts w:hint="eastAsia" w:ascii="仿宋_GB2312" w:eastAsia="仿宋_GB2312"/>
          <w:b/>
          <w:bCs/>
          <w:sz w:val="32"/>
          <w:szCs w:val="32"/>
          <w:lang w:eastAsia="zh-CN"/>
        </w:rPr>
        <w:t>满意度指标分析</w:t>
      </w:r>
    </w:p>
    <w:p w14:paraId="61A2BB48">
      <w:pPr>
        <w:keepNext w:val="0"/>
        <w:keepLines w:val="0"/>
        <w:pageBreakBefore w:val="0"/>
        <w:numPr>
          <w:ilvl w:val="0"/>
          <w:numId w:val="0"/>
        </w:numPr>
        <w:kinsoku/>
        <w:wordWrap/>
        <w:overflowPunct/>
        <w:topLinePunct w:val="0"/>
        <w:autoSpaceDE/>
        <w:autoSpaceDN/>
        <w:bidi w:val="0"/>
        <w:spacing w:line="560" w:lineRule="exact"/>
        <w:ind w:leftChars="150" w:firstLine="640" w:firstLineChars="20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eastAsia="仿宋_GB2312"/>
          <w:sz w:val="32"/>
          <w:szCs w:val="32"/>
          <w:lang w:eastAsia="zh-CN"/>
        </w:rPr>
        <w:t>通过开展项目知晓率及满意度问卷调查，采取面对面核查、电话核查的方式，调查居民，辖区居民对基本公共卫生服务综合满意度较高，大大提高了居民对基本公共卫生服务工作实用性的认同度和感受度。</w:t>
      </w:r>
    </w:p>
    <w:p w14:paraId="13B0E45C">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61DFB168">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考核采取了听取汇报、座谈访问、查阅资料等多种方法。为强化绩效评价考核工作，2023年年底完成了指标任务，总分100分，自评分88分。</w:t>
      </w:r>
    </w:p>
    <w:p w14:paraId="2851D689">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黑体" w:hAnsi="黑体" w:eastAsia="黑体"/>
          <w:sz w:val="32"/>
          <w:szCs w:val="32"/>
          <w:lang w:eastAsia="zh-CN"/>
        </w:rPr>
        <w:t>五、</w:t>
      </w:r>
      <w:r>
        <w:rPr>
          <w:rFonts w:hint="eastAsia" w:ascii="黑体" w:hAnsi="黑体" w:eastAsia="黑体"/>
          <w:sz w:val="32"/>
          <w:szCs w:val="32"/>
        </w:rPr>
        <w:t>存在的问题</w:t>
      </w:r>
    </w:p>
    <w:p w14:paraId="5F73C3F6">
      <w:pPr>
        <w:numPr>
          <w:ilvl w:val="0"/>
          <w:numId w:val="0"/>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1.慢性病患者提供规范随访次数未达标，主要原因：一是对辖区的慢病患者摸排不全面，有漏摸的情况；二是部分患者长期务工定居外地后无法管理迁出档案，降低了管理率；三是部分患者因个人隐私不愿接受管理未纳入，降低了管理率。</w:t>
      </w:r>
    </w:p>
    <w:p w14:paraId="71323F1E">
      <w:pPr>
        <w:numPr>
          <w:ilvl w:val="0"/>
          <w:numId w:val="0"/>
        </w:num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eastAsia="仿宋_GB2312"/>
          <w:sz w:val="32"/>
          <w:szCs w:val="32"/>
          <w:lang w:val="en-US" w:eastAsia="zh-CN"/>
        </w:rPr>
        <w:t>2.</w:t>
      </w:r>
      <w:r>
        <w:rPr>
          <w:rFonts w:hint="eastAsia" w:ascii="仿宋_GB2312" w:hAnsi="仿宋_GB2312" w:eastAsia="仿宋_GB2312" w:cs="仿宋_GB2312"/>
          <w:color w:val="auto"/>
          <w:kern w:val="0"/>
          <w:sz w:val="32"/>
          <w:szCs w:val="32"/>
          <w:lang w:val="en-US" w:eastAsia="zh-CN"/>
        </w:rPr>
        <w:t>慢性病患者提供规范随访次数</w:t>
      </w:r>
      <w:r>
        <w:rPr>
          <w:rFonts w:hint="eastAsia" w:ascii="仿宋_GB2312" w:eastAsia="仿宋_GB2312"/>
          <w:sz w:val="32"/>
          <w:szCs w:val="32"/>
          <w:lang w:val="en-US" w:eastAsia="zh-CN"/>
        </w:rPr>
        <w:t>未达标，主要原因：</w:t>
      </w:r>
      <w:r>
        <w:rPr>
          <w:rFonts w:hint="eastAsia" w:ascii="仿宋_GB2312" w:hAnsi="仿宋_GB2312" w:eastAsia="仿宋_GB2312" w:cs="仿宋_GB2312"/>
          <w:color w:val="auto"/>
          <w:kern w:val="0"/>
          <w:sz w:val="32"/>
          <w:szCs w:val="32"/>
          <w:lang w:val="en-US" w:eastAsia="zh-CN"/>
        </w:rPr>
        <w:t>部分慢病患者外出务工，不能100%达到每个人4次面对面随访。</w:t>
      </w:r>
    </w:p>
    <w:p w14:paraId="7D16707E">
      <w:pPr>
        <w:numPr>
          <w:ilvl w:val="0"/>
          <w:numId w:val="0"/>
        </w:num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3.慢性病患者提供健康体检次数未达标，主要原因：部分慢病患者外出务工，不能100%达到每个人1次健康体检。</w:t>
      </w:r>
    </w:p>
    <w:p w14:paraId="1DCD512B">
      <w:pPr>
        <w:numPr>
          <w:ilvl w:val="0"/>
          <w:numId w:val="0"/>
        </w:numPr>
        <w:spacing w:line="60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4.孕产妇管理率、老年人管理率、健康教育覆盖率指标未达标，主要原因：人员流动性大，造成指标低。</w:t>
      </w:r>
    </w:p>
    <w:p w14:paraId="4E82EAF5">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六、下一步改进工作的措施</w:t>
      </w:r>
    </w:p>
    <w:p w14:paraId="25430059">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慢性病患者提供规范随访方面：一是根据实际情况认真开展慢病患者摸排行动。二是掌握长期流动人员动向，抓住返乡时及时机，进行随访、体检服务。三是确因定居外地人员可将档案迁出，由其务工所在地进行管理服务。</w:t>
      </w:r>
    </w:p>
    <w:p w14:paraId="3317E075">
      <w:p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eastAsia="仿宋_GB2312"/>
          <w:sz w:val="32"/>
          <w:szCs w:val="32"/>
          <w:lang w:val="en-US" w:eastAsia="zh-CN"/>
        </w:rPr>
        <w:t>2.</w:t>
      </w:r>
      <w:r>
        <w:rPr>
          <w:rFonts w:hint="eastAsia" w:ascii="仿宋_GB2312" w:hAnsi="仿宋_GB2312" w:eastAsia="仿宋_GB2312" w:cs="仿宋_GB2312"/>
          <w:color w:val="auto"/>
          <w:kern w:val="0"/>
          <w:sz w:val="32"/>
          <w:szCs w:val="32"/>
          <w:lang w:val="en-US" w:eastAsia="zh-CN"/>
        </w:rPr>
        <w:t>慢性病患者提供规范随访次数方面。多方面思考，采用电话、微信视频对接等方式进行随访。</w:t>
      </w:r>
    </w:p>
    <w:p w14:paraId="3CE6C8DE">
      <w:p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3.慢性病患者提供健康体检次数方面。对长期外出的慢病患者纳入流动人口，告知其在务工地参加体检，经和长期居住地方对接将其档案迁出。</w:t>
      </w:r>
      <w:bookmarkStart w:id="0" w:name="_GoBack"/>
      <w:bookmarkEnd w:id="0"/>
    </w:p>
    <w:p w14:paraId="331018EA">
      <w:pPr>
        <w:numPr>
          <w:ilvl w:val="0"/>
          <w:numId w:val="0"/>
        </w:numPr>
        <w:spacing w:line="60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4.孕产妇管理率、老年人管理率、健康教育覆盖率方面，主要原因：增强居民意识，进一步完善个人信息，及时追踪。</w:t>
      </w:r>
    </w:p>
    <w:p w14:paraId="13095A58">
      <w:pPr>
        <w:spacing w:line="600" w:lineRule="exact"/>
        <w:ind w:firstLine="640" w:firstLineChars="200"/>
        <w:rPr>
          <w:rFonts w:hint="eastAsia" w:ascii="仿宋_GB2312" w:hAnsi="仿宋_GB2312" w:eastAsia="仿宋_GB2312" w:cs="仿宋_GB2312"/>
          <w:color w:val="auto"/>
          <w:kern w:val="0"/>
          <w:sz w:val="32"/>
          <w:szCs w:val="32"/>
          <w:lang w:val="en-US" w:eastAsia="zh-CN"/>
        </w:rPr>
      </w:pPr>
    </w:p>
    <w:p w14:paraId="6A928478">
      <w:pPr>
        <w:spacing w:line="600" w:lineRule="exact"/>
        <w:ind w:firstLine="640" w:firstLineChars="200"/>
        <w:rPr>
          <w:rFonts w:hint="default" w:ascii="仿宋_GB2312" w:hAnsi="仿宋_GB2312" w:eastAsia="仿宋_GB2312" w:cs="仿宋_GB2312"/>
          <w:color w:val="auto"/>
          <w:kern w:val="0"/>
          <w:sz w:val="32"/>
          <w:szCs w:val="32"/>
          <w:lang w:val="en-US" w:eastAsia="zh-CN"/>
        </w:rPr>
      </w:pPr>
    </w:p>
    <w:p w14:paraId="3158967D">
      <w:pPr>
        <w:spacing w:line="600" w:lineRule="exact"/>
        <w:ind w:firstLine="640" w:firstLineChars="200"/>
        <w:rPr>
          <w:rFonts w:hint="default" w:ascii="仿宋_GB2312" w:hAnsi="仿宋_GB2312" w:eastAsia="仿宋_GB2312" w:cs="仿宋_GB2312"/>
          <w:color w:val="auto"/>
          <w:kern w:val="0"/>
          <w:sz w:val="32"/>
          <w:szCs w:val="32"/>
          <w:lang w:val="en-US" w:eastAsia="zh-CN"/>
        </w:rPr>
      </w:pPr>
    </w:p>
    <w:p w14:paraId="6B72A3A4">
      <w:pPr>
        <w:spacing w:line="600" w:lineRule="exact"/>
        <w:ind w:firstLine="640" w:firstLineChars="200"/>
        <w:jc w:val="center"/>
        <w:rPr>
          <w:rFonts w:hint="default" w:ascii="仿宋_GB2312" w:hAnsi="仿宋_GB2312" w:eastAsia="仿宋_GB2312" w:cs="仿宋_GB2312"/>
          <w:color w:val="auto"/>
          <w:kern w:val="0"/>
          <w:sz w:val="32"/>
          <w:szCs w:val="32"/>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F20100"/>
    <w:multiLevelType w:val="singleLevel"/>
    <w:tmpl w:val="B2F20100"/>
    <w:lvl w:ilvl="0" w:tentative="0">
      <w:start w:val="3"/>
      <w:numFmt w:val="chineseCounting"/>
      <w:suff w:val="nothing"/>
      <w:lvlText w:val="%1、"/>
      <w:lvlJc w:val="left"/>
      <w:rPr>
        <w:rFonts w:hint="eastAsia"/>
      </w:rPr>
    </w:lvl>
  </w:abstractNum>
  <w:abstractNum w:abstractNumId="1">
    <w:nsid w:val="3C496086"/>
    <w:multiLevelType w:val="singleLevel"/>
    <w:tmpl w:val="3C496086"/>
    <w:lvl w:ilvl="0" w:tentative="0">
      <w:start w:val="1"/>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JlMjQ4ZmE4YmQ3ZjgxYjI4MmE0YmJiMWQwNzM5YzM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BA3803"/>
    <w:rsid w:val="00C2019A"/>
    <w:rsid w:val="00E430CA"/>
    <w:rsid w:val="00EA2F26"/>
    <w:rsid w:val="02023A84"/>
    <w:rsid w:val="02530E78"/>
    <w:rsid w:val="0ECA2393"/>
    <w:rsid w:val="18E11E1D"/>
    <w:rsid w:val="37C34599"/>
    <w:rsid w:val="3BF07AFD"/>
    <w:rsid w:val="3C231064"/>
    <w:rsid w:val="4E50466F"/>
    <w:rsid w:val="4FAE1D52"/>
    <w:rsid w:val="58C90AF5"/>
    <w:rsid w:val="5B060C94"/>
    <w:rsid w:val="61120392"/>
    <w:rsid w:val="6280592D"/>
    <w:rsid w:val="68660FC4"/>
    <w:rsid w:val="6F1B00D4"/>
    <w:rsid w:val="737D02A0"/>
    <w:rsid w:val="75A03D67"/>
    <w:rsid w:val="7DF7FF7A"/>
    <w:rsid w:val="7E5F22E5"/>
    <w:rsid w:val="B2F7B927"/>
    <w:rsid w:val="DE2BBFD4"/>
    <w:rsid w:val="DF7B206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jc w:val="left"/>
    </w:pPr>
    <w:rPr>
      <w:rFonts w:cs="Times New Roman"/>
      <w:kern w:val="0"/>
      <w:sz w:val="24"/>
    </w:rPr>
  </w:style>
  <w:style w:type="character" w:customStyle="1" w:styleId="7">
    <w:name w:val="页眉 Char"/>
    <w:basedOn w:val="6"/>
    <w:link w:val="3"/>
    <w:autoRedefine/>
    <w:qFormat/>
    <w:uiPriority w:val="0"/>
    <w:rPr>
      <w:rFonts w:ascii="Calibri"/>
      <w:kern w:val="2"/>
      <w:sz w:val="18"/>
      <w:szCs w:val="18"/>
    </w:rPr>
  </w:style>
  <w:style w:type="character" w:customStyle="1" w:styleId="8">
    <w:name w:val="页脚 Char"/>
    <w:basedOn w:val="6"/>
    <w:link w:val="2"/>
    <w:autoRedefine/>
    <w:qFormat/>
    <w:uiPriority w:val="0"/>
    <w:rPr>
      <w:rFonts w:ascii="Calibri"/>
      <w:kern w:val="2"/>
      <w:sz w:val="18"/>
      <w:szCs w:val="18"/>
    </w:rPr>
  </w:style>
  <w:style w:type="paragraph" w:customStyle="1" w:styleId="9">
    <w:name w:val="Body Text First Indent 21"/>
    <w:basedOn w:val="10"/>
    <w:autoRedefine/>
    <w:qFormat/>
    <w:uiPriority w:val="0"/>
    <w:pPr>
      <w:ind w:firstLine="420" w:firstLineChars="200"/>
    </w:pPr>
  </w:style>
  <w:style w:type="paragraph" w:customStyle="1" w:styleId="10">
    <w:name w:val="Body Text Indent1"/>
    <w:basedOn w:val="1"/>
    <w:autoRedefine/>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2668</Words>
  <Characters>2761</Characters>
  <Lines>1</Lines>
  <Paragraphs>1</Paragraphs>
  <TotalTime>50</TotalTime>
  <ScaleCrop>false</ScaleCrop>
  <LinksUpToDate>false</LinksUpToDate>
  <CharactersWithSpaces>2762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2022-01-19T15:54:00Z</dcterms:created>
  <dc:creator>散步的鱼</dc:creator>
  <cp:lastModifiedBy>玫^O^儿</cp:lastModifiedBy>
  <cp:lastPrinted>2023-12-26T06:47:00Z</cp:lastPrinted>
  <dcterms:modified xsi:type="dcterms:W3CDTF">2024-08-19T03:17:44Z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3537FD56EB484830AFAD6520AD26A628_12</vt:lpwstr>
  </property>
</Properties>
</file>