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2023年度重点党报党刊征订经费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支出绩效自评报告</w:t>
      </w:r>
    </w:p>
    <w:p>
      <w:pPr>
        <w:jc w:val="center"/>
        <w:rPr>
          <w:rFonts w:ascii="Times New Roman" w:eastAsia="楷体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省委宣传部《关于做好2023年度全省重点党报党刊发行工作的通知》（甘宣明电（2022）128号）和市委宣传部《关于做好2023年度全市重点党报党刊发行工作的通知》（市宣通（2022）37号）文件精神，做好《人民日报》《农民日报》《张掖日报》《求是》《光明日报》《经济日报》《新华每日电讯》等2023年度重点党报党刊集中征订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党报党刊是党和人民的喉舌，是社会主义意识形态领域的重要阵地，是弘扬先进文化的重要载体。深入落实全国、省、市和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宣传思想工作会议要求，巩固壮大主流思想舆论，引导和激励全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干部群众为推动城市高质量建设而努力奋斗具有重要意义。通过党报党刊的征订，推动媒体深度融合发展，不断扩大党报党刊的地域覆盖面、人群覆盖面、内容覆盖面。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1.项目资金到位情况。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2023年1月县财政安排拨付2023年度重点党报党刊征订经费702935.4元，资金到位率100%。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2.项目资金执行情况。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2023年重点党报党刊征订项目预算金额为702935.4元，实际支出702935.4元，资金支付率100%，执行率100%。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3.项目资金</w:t>
      </w:r>
      <w:r>
        <w:rPr>
          <w:rFonts w:hint="eastAsia" w:ascii="仿宋_GB2312" w:eastAsia="仿宋_GB2312"/>
          <w:sz w:val="32"/>
          <w:szCs w:val="32"/>
        </w:rPr>
        <w:t>支出使用情况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该项目所有资金实行专款专用，项目支出均按程序审批，资金拨付严格审批程序，资金使用规范，会计核算结果真实、准确。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1.产出指标完成情况分析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数量指标：党报党刊订阅类别，年度指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标值14类，实际完成值14类；各乡镇党报党刊订阅份数，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年度指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标值1171份，实际完成值1171份；四大办公室党报党刊订阅份数，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年度指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标值648份，实际完成值648份。该指标分值15分，自评得分15分。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质量指标：党报党刊订阅任务完成率、资金支付准确率、资金利用率，年度指标值等于100%，实际完成值等于100%。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该指标分值18分，自评得分18分。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时效指标：按时完成订阅数，年度指标值等于100%，实际完成值等于100%；资金支付及时率，年度指标值等于100%，实际完成值等于100%。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该指标分值12分，自评得分12分。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成本指标：费用控制，年度指标值等于702935.4元,实际完成值等于702935.4元。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该指标分值5分，自评得分5分。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2.效益指标完成情况分析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（1）经济效益：无。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社会效益：确保2023年重点党报党刊征订工作按时完成，年度指标值确保,实际完成值确保；提高党员干部阅读党报党刊的积极性、主动性，年度指标值提高,实际完成值提高；提高党报党刊阅读率和使用率，年度指标值提高,实际完成值提高</w:t>
      </w:r>
      <w:r>
        <w:rPr>
          <w:rFonts w:hint="eastAsia" w:ascii="仿宋_GB2312" w:eastAsia="仿宋_GB2312"/>
          <w:color w:val="auto"/>
          <w:spacing w:val="-11"/>
          <w:sz w:val="32"/>
          <w:szCs w:val="32"/>
          <w:lang w:val="en-US" w:eastAsia="zh-CN"/>
        </w:rPr>
        <w:t>。该指标分值30分，自评得分27分。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（3）生态效益：无。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（4）可持续影响：无。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3.满意度指标完成情况分析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订阅单位满意度，年度指标值≥90%,实际完成值≥90%；党员干部满意度，年度指标值≥90%,实际完成值≥90%。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该指标分值10分，自评得分10分。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1.项目经济性分析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（1）项目成本（预算）控制情况。我单位严格经费管理制度，要求专项资金严格按照项目内容使用，做到专款专用。使用专项资金时，全部通过国库集中支付。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（2）项目成本（预算）节约情况。我单位严格按照相关规定，本着厉行节约，控制成本的要求实施项目。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2.项目效率性分析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（1）项目实施进度：按照制定的工作目标已经全部完成。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（2）项目完成质量。按年度总体工作目标保质保量完成，达到了预期的效果。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该项目绩效评价考核各类指标值自评综合得分97分。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无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在今后的工作中，一要加强预算执行进度的监督管理，提高预算执行率，二要加强绩效评价管理制度和指标设计，细化经费，完善信息，制定合法、合规、合理、可行的绩效目标，三要严格预算执行，加强资金使用管理，规范财务行为，进一步合理配置资源，完善项目管理办法，切实提高项目管理水平、财政资金使用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172" w:rightChars="558"/>
        <w:textAlignment w:val="auto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中共山丹县委宣传部</w:t>
      </w:r>
    </w:p>
    <w:p>
      <w:pPr>
        <w:adjustRightInd w:val="0"/>
        <w:snapToGrid w:val="0"/>
        <w:spacing w:line="60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6C8A4"/>
    <w:multiLevelType w:val="singleLevel"/>
    <w:tmpl w:val="AD56C8A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10DAE8B"/>
    <w:multiLevelType w:val="singleLevel"/>
    <w:tmpl w:val="F10DAE8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lmMGMwNzFiNTA4NGYxODdmYWNlYjEwNjg4MzM1N2Y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594EC8"/>
    <w:rsid w:val="007B2162"/>
    <w:rsid w:val="00810656"/>
    <w:rsid w:val="00854E14"/>
    <w:rsid w:val="008C120E"/>
    <w:rsid w:val="009471EF"/>
    <w:rsid w:val="00976E20"/>
    <w:rsid w:val="009F449D"/>
    <w:rsid w:val="00A34770"/>
    <w:rsid w:val="00B4239C"/>
    <w:rsid w:val="00C2019A"/>
    <w:rsid w:val="00E430CA"/>
    <w:rsid w:val="00EA2F26"/>
    <w:rsid w:val="02E11F29"/>
    <w:rsid w:val="06E90BE2"/>
    <w:rsid w:val="0895152F"/>
    <w:rsid w:val="0ECA2393"/>
    <w:rsid w:val="10A32505"/>
    <w:rsid w:val="10E82153"/>
    <w:rsid w:val="1351449B"/>
    <w:rsid w:val="21436B61"/>
    <w:rsid w:val="2D485B6F"/>
    <w:rsid w:val="34256C0A"/>
    <w:rsid w:val="35BB5A78"/>
    <w:rsid w:val="3D0F48FB"/>
    <w:rsid w:val="408847CB"/>
    <w:rsid w:val="41564D9C"/>
    <w:rsid w:val="58C57936"/>
    <w:rsid w:val="62A83FA0"/>
    <w:rsid w:val="667E26E5"/>
    <w:rsid w:val="7452664B"/>
    <w:rsid w:val="76E45ED5"/>
    <w:rsid w:val="76FE0619"/>
    <w:rsid w:val="7736557D"/>
    <w:rsid w:val="7C6929D9"/>
    <w:rsid w:val="7E260B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adjustRightInd w:val="0"/>
      <w:snapToGrid w:val="0"/>
      <w:spacing w:line="600" w:lineRule="exact"/>
      <w:ind w:firstLine="720" w:firstLineChars="200"/>
    </w:pPr>
    <w:rPr>
      <w:rFonts w:ascii="宋体" w:hAnsi="宋体"/>
      <w:sz w:val="36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16</Characters>
  <Lines>1</Lines>
  <Paragraphs>1</Paragraphs>
  <TotalTime>1</TotalTime>
  <ScaleCrop>false</ScaleCrop>
  <LinksUpToDate>false</LinksUpToDate>
  <CharactersWithSpaces>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WPS_1509372035</cp:lastModifiedBy>
  <cp:lastPrinted>2024-01-05T07:26:55Z</cp:lastPrinted>
  <dcterms:modified xsi:type="dcterms:W3CDTF">2024-01-05T07:28:15Z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CDADDEEE5A0B4B6385CD7A5E4F824FD4_12</vt:lpwstr>
  </property>
</Properties>
</file>