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山丹县第一次全国自然灾害综合风险</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普查房屋建筑和市政设施调查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项目支出绩效自评报告</w:t>
      </w:r>
    </w:p>
    <w:p>
      <w:pPr>
        <w:spacing w:line="600" w:lineRule="exact"/>
        <w:ind w:firstLine="640" w:firstLineChars="200"/>
        <w:rPr>
          <w:rFonts w:hint="eastAsia" w:eastAsia="黑体"/>
          <w:sz w:val="32"/>
          <w:szCs w:val="32"/>
        </w:rPr>
      </w:pPr>
    </w:p>
    <w:p>
      <w:pPr>
        <w:spacing w:line="600" w:lineRule="exact"/>
        <w:ind w:firstLine="640" w:firstLineChars="200"/>
        <w:rPr>
          <w:rFonts w:eastAsia="黑体"/>
          <w:sz w:val="32"/>
          <w:szCs w:val="32"/>
        </w:rPr>
      </w:pPr>
      <w:r>
        <w:rPr>
          <w:rFonts w:hint="eastAsia" w:eastAsia="黑体"/>
          <w:sz w:val="32"/>
          <w:szCs w:val="32"/>
        </w:rPr>
        <w:t>一、项目基本情况</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rPr>
        <w:t>山丹县第一次全国自然灾害综合风险普查房屋建筑和市政设施调查项目于2021年12月13日在山丹县公共资源交易中心完成公开招标，确定黄河勘测规划设计研究院有限公司为中标单位，中标金额1649500元</w:t>
      </w:r>
      <w:r>
        <w:rPr>
          <w:rFonts w:hint="eastAsia" w:ascii="仿宋_GB2312" w:eastAsia="仿宋_GB2312"/>
          <w:sz w:val="32"/>
          <w:szCs w:val="32"/>
          <w:lang w:eastAsia="zh-CN"/>
        </w:rPr>
        <w:t>，</w:t>
      </w:r>
      <w:r>
        <w:rPr>
          <w:rFonts w:hint="eastAsia" w:ascii="仿宋_GB2312" w:eastAsia="仿宋_GB2312"/>
          <w:sz w:val="32"/>
          <w:szCs w:val="32"/>
          <w:lang w:val="en-US" w:eastAsia="zh-CN"/>
        </w:rPr>
        <w:t>后经结算，确定该项目实际结算金额为1541972.43元；</w:t>
      </w:r>
      <w:r>
        <w:rPr>
          <w:rFonts w:hint="eastAsia" w:ascii="仿宋_GB2312" w:eastAsia="仿宋_GB2312"/>
          <w:sz w:val="32"/>
          <w:szCs w:val="32"/>
        </w:rPr>
        <w:t>山丹县第一次全国自然灾害综合风险普查房屋建筑和市政设施调查项目</w:t>
      </w:r>
      <w:r>
        <w:rPr>
          <w:rFonts w:hint="eastAsia" w:ascii="仿宋_GB2312" w:eastAsia="仿宋_GB2312"/>
          <w:sz w:val="32"/>
          <w:szCs w:val="32"/>
          <w:lang w:eastAsia="zh-CN"/>
        </w:rPr>
        <w:t>（</w:t>
      </w:r>
      <w:r>
        <w:rPr>
          <w:rFonts w:hint="eastAsia" w:ascii="仿宋_GB2312" w:eastAsia="仿宋_GB2312"/>
          <w:sz w:val="32"/>
          <w:szCs w:val="32"/>
          <w:lang w:val="en-US" w:eastAsia="zh-CN"/>
        </w:rPr>
        <w:t>山丹马场</w:t>
      </w:r>
      <w:r>
        <w:rPr>
          <w:rFonts w:hint="eastAsia" w:ascii="仿宋_GB2312" w:eastAsia="仿宋_GB2312"/>
          <w:sz w:val="32"/>
          <w:szCs w:val="32"/>
          <w:lang w:eastAsia="zh-CN"/>
        </w:rPr>
        <w:t>），</w:t>
      </w:r>
      <w:r>
        <w:rPr>
          <w:rFonts w:hint="eastAsia" w:ascii="仿宋_GB2312" w:eastAsia="仿宋_GB2312"/>
          <w:sz w:val="32"/>
          <w:szCs w:val="32"/>
          <w:lang w:val="en-US" w:eastAsia="zh-CN"/>
        </w:rPr>
        <w:t>通过询价确定山丹县仁爱测绘有限公司为实施单位，合同金额217500元；</w:t>
      </w:r>
      <w:r>
        <w:rPr>
          <w:rFonts w:hint="eastAsia" w:ascii="仿宋_GB2312" w:eastAsia="仿宋_GB2312"/>
          <w:sz w:val="32"/>
          <w:szCs w:val="32"/>
        </w:rPr>
        <w:t>山丹县第一次全国自然灾害综合风险普查房屋建筑和市政设施调查项目</w:t>
      </w:r>
      <w:r>
        <w:rPr>
          <w:rFonts w:hint="eastAsia" w:ascii="仿宋_GB2312" w:eastAsia="仿宋_GB2312"/>
          <w:sz w:val="32"/>
          <w:szCs w:val="32"/>
          <w:lang w:eastAsia="zh-CN"/>
        </w:rPr>
        <w:t>（</w:t>
      </w:r>
      <w:r>
        <w:rPr>
          <w:rFonts w:hint="eastAsia" w:ascii="仿宋_GB2312" w:eastAsia="仿宋_GB2312"/>
          <w:sz w:val="32"/>
          <w:szCs w:val="32"/>
          <w:lang w:val="en-US" w:eastAsia="zh-CN"/>
        </w:rPr>
        <w:t>县级核检</w:t>
      </w:r>
      <w:r>
        <w:rPr>
          <w:rFonts w:hint="eastAsia" w:ascii="仿宋_GB2312" w:eastAsia="仿宋_GB2312"/>
          <w:sz w:val="32"/>
          <w:szCs w:val="32"/>
          <w:lang w:eastAsia="zh-CN"/>
        </w:rPr>
        <w:t>），</w:t>
      </w:r>
      <w:r>
        <w:rPr>
          <w:rFonts w:hint="eastAsia" w:ascii="仿宋_GB2312" w:eastAsia="仿宋_GB2312"/>
          <w:sz w:val="32"/>
          <w:szCs w:val="32"/>
          <w:lang w:val="en-US" w:eastAsia="zh-CN"/>
        </w:rPr>
        <w:t>通过询价确定山丹县仁爱测绘有限公司为实施单位，合同金额50000元。该</w:t>
      </w:r>
      <w:r>
        <w:rPr>
          <w:rFonts w:hint="eastAsia" w:ascii="仿宋_GB2312" w:eastAsia="仿宋_GB2312"/>
          <w:sz w:val="32"/>
          <w:szCs w:val="32"/>
        </w:rPr>
        <w:t>项目服务的主要内容：</w:t>
      </w:r>
      <w:r>
        <w:rPr>
          <w:rFonts w:hint="eastAsia" w:ascii="仿宋_GB2312" w:eastAsia="仿宋_GB2312"/>
          <w:sz w:val="32"/>
          <w:szCs w:val="32"/>
          <w:lang w:val="en-US" w:eastAsia="zh-CN"/>
        </w:rPr>
        <w:t>山丹县包括山丹马场的</w:t>
      </w:r>
      <w:r>
        <w:rPr>
          <w:rFonts w:hint="eastAsia" w:ascii="仿宋_GB2312" w:eastAsia="仿宋_GB2312"/>
          <w:sz w:val="32"/>
          <w:szCs w:val="32"/>
        </w:rPr>
        <w:t>农村房屋建筑调查、城镇房屋建筑调查</w:t>
      </w:r>
      <w:r>
        <w:rPr>
          <w:rFonts w:hint="eastAsia" w:ascii="仿宋_GB2312" w:eastAsia="仿宋_GB2312"/>
          <w:sz w:val="32"/>
          <w:szCs w:val="32"/>
          <w:lang w:val="en-US" w:eastAsia="zh-CN"/>
        </w:rPr>
        <w:t>、</w:t>
      </w:r>
      <w:r>
        <w:rPr>
          <w:rFonts w:hint="eastAsia" w:ascii="仿宋_GB2312" w:eastAsia="仿宋_GB2312"/>
          <w:sz w:val="32"/>
          <w:szCs w:val="32"/>
        </w:rPr>
        <w:t>市政设施调查</w:t>
      </w:r>
      <w:r>
        <w:rPr>
          <w:rFonts w:hint="eastAsia" w:ascii="仿宋_GB2312" w:eastAsia="仿宋_GB2312"/>
          <w:sz w:val="32"/>
          <w:szCs w:val="32"/>
          <w:lang w:val="en-US" w:eastAsia="zh-CN"/>
        </w:rPr>
        <w:t>和调查成果的县级核检。</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eastAsia="黑体"/>
          <w:sz w:val="32"/>
          <w:szCs w:val="32"/>
          <w:lang w:val="en-US" w:eastAsia="zh-CN"/>
        </w:rPr>
      </w:pPr>
      <w:r>
        <w:rPr>
          <w:rFonts w:hint="eastAsia" w:eastAsia="黑体"/>
          <w:sz w:val="32"/>
          <w:szCs w:val="32"/>
          <w:lang w:val="en-US" w:eastAsia="zh-CN"/>
        </w:rPr>
        <w:t>绩效目标完成情况</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eastAsia="楷体_GB2312"/>
          <w:b/>
          <w:sz w:val="32"/>
          <w:szCs w:val="32"/>
          <w:lang w:val="en-US" w:eastAsia="zh-CN"/>
        </w:rPr>
      </w:pPr>
      <w:r>
        <w:rPr>
          <w:rFonts w:hint="eastAsia" w:ascii="楷体_GB2312" w:eastAsia="楷体_GB2312"/>
          <w:b/>
          <w:sz w:val="32"/>
          <w:szCs w:val="32"/>
          <w:lang w:val="en-US" w:eastAsia="zh-CN"/>
        </w:rPr>
        <w:t>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bCs w:val="0"/>
          <w:sz w:val="32"/>
          <w:szCs w:val="32"/>
          <w:lang w:val="en-US" w:eastAsia="zh-CN"/>
        </w:rPr>
        <w:t>1.项目资金到位情况分析：</w:t>
      </w:r>
      <w:r>
        <w:rPr>
          <w:rFonts w:hint="eastAsia" w:ascii="仿宋_GB2312" w:hAnsi="仿宋_GB2312" w:eastAsia="仿宋_GB2312" w:cs="仿宋_GB2312"/>
          <w:b w:val="0"/>
          <w:bCs/>
          <w:sz w:val="32"/>
          <w:szCs w:val="32"/>
          <w:lang w:val="en-US" w:eastAsia="zh-CN"/>
        </w:rPr>
        <w:t>2023年度第一次全国自然灾害综合风险普查房屋建筑和市政设施项目资金共计10万元，已全部支付完成。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bCs w:val="0"/>
          <w:sz w:val="32"/>
          <w:szCs w:val="32"/>
          <w:lang w:val="en-US" w:eastAsia="zh-CN"/>
        </w:rPr>
        <w:t>2.项目资金使用情况：</w:t>
      </w:r>
      <w:r>
        <w:rPr>
          <w:rFonts w:hint="eastAsia" w:ascii="仿宋_GB2312" w:hAnsi="仿宋_GB2312" w:eastAsia="仿宋_GB2312" w:cs="仿宋_GB2312"/>
          <w:b w:val="0"/>
          <w:bCs/>
          <w:sz w:val="32"/>
          <w:szCs w:val="32"/>
          <w:lang w:val="en-US" w:eastAsia="zh-CN"/>
        </w:rPr>
        <w:t>本次普查成果于2022年4月通过张掖市级核查，同年5月以平均98.1%的合格率顺利通过了省级核查。目前，已支付项目资金15万元。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bCs w:val="0"/>
          <w:sz w:val="32"/>
          <w:szCs w:val="32"/>
          <w:lang w:val="en-US" w:eastAsia="zh-CN"/>
        </w:rPr>
        <w:t>3.项目资金管理情况分析：</w:t>
      </w:r>
      <w:r>
        <w:rPr>
          <w:rFonts w:hint="eastAsia" w:ascii="仿宋_GB2312" w:hAnsi="仿宋_GB2312" w:eastAsia="仿宋_GB2312" w:cs="仿宋_GB2312"/>
          <w:b w:val="0"/>
          <w:bCs/>
          <w:sz w:val="32"/>
          <w:szCs w:val="32"/>
          <w:lang w:val="en-US" w:eastAsia="zh-CN"/>
        </w:rPr>
        <w:t>专项资金拨付程序规范，审批手续完整。严格专款专用，不存在挪用专项资金情况。</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textAlignment w:val="auto"/>
        <w:rPr>
          <w:rFonts w:hint="default" w:ascii="仿宋_GB2312" w:hAnsi="仿宋_GB2312" w:eastAsia="仿宋_GB2312" w:cs="仿宋_GB2312"/>
          <w:b w:val="0"/>
          <w:bCs/>
          <w:sz w:val="32"/>
          <w:szCs w:val="32"/>
          <w:lang w:val="en-US" w:eastAsia="zh-CN"/>
        </w:rPr>
      </w:pPr>
      <w:r>
        <w:rPr>
          <w:rFonts w:hint="eastAsia" w:ascii="楷体_GB2312" w:eastAsia="楷体_GB2312"/>
          <w:b/>
          <w:sz w:val="32"/>
          <w:szCs w:val="32"/>
          <w:lang w:val="en-US" w:eastAsia="zh-CN"/>
        </w:rPr>
        <w:t>总体绩效目标完成情况分析。</w:t>
      </w:r>
      <w:r>
        <w:rPr>
          <w:rFonts w:hint="eastAsia" w:ascii="仿宋_GB2312" w:hAnsi="仿宋_GB2312" w:eastAsia="仿宋_GB2312" w:cs="仿宋_GB2312"/>
          <w:b w:val="0"/>
          <w:bCs/>
          <w:sz w:val="32"/>
          <w:szCs w:val="32"/>
          <w:lang w:val="en-US" w:eastAsia="zh-CN"/>
        </w:rPr>
        <w:t>通过本次普查详细了解了全县房屋建筑和市政设施数量、空间分布及灾害属性特征，建立房屋建筑和市政设施调查成果数据库。为非常态应急管理、常态灾害风险分析和防灾减灾、空间发展规划、生态文明建设等各项工作提供基础数据和科学决策依据。</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textAlignment w:val="auto"/>
        <w:rPr>
          <w:rFonts w:hint="default" w:ascii="楷体_GB2312" w:eastAsia="楷体_GB2312"/>
          <w:b/>
          <w:sz w:val="32"/>
          <w:szCs w:val="32"/>
          <w:lang w:val="en-US" w:eastAsia="zh-CN"/>
        </w:rPr>
      </w:pPr>
      <w:r>
        <w:rPr>
          <w:rFonts w:hint="eastAsia" w:ascii="楷体_GB2312" w:eastAsia="楷体_GB2312"/>
          <w:b/>
          <w:sz w:val="32"/>
          <w:szCs w:val="32"/>
          <w:lang w:val="en-US" w:eastAsia="zh-CN"/>
        </w:rPr>
        <w:t>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1.产出指标完成情况分析。</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sz w:val="32"/>
          <w:szCs w:val="32"/>
          <w:lang w:val="en-US" w:eastAsia="zh-CN"/>
        </w:rPr>
        <w:t>数量指标：</w:t>
      </w:r>
      <w:r>
        <w:rPr>
          <w:rFonts w:hint="eastAsia" w:ascii="仿宋_GB2312" w:hAnsi="仿宋_GB2312" w:eastAsia="仿宋_GB2312" w:cs="仿宋_GB2312"/>
          <w:b w:val="0"/>
          <w:bCs/>
          <w:sz w:val="32"/>
          <w:szCs w:val="32"/>
          <w:lang w:val="en-US" w:eastAsia="zh-CN"/>
        </w:rPr>
        <w:t>已按合同要求时限完成全县农村房屋建筑调查140156栋；城镇房屋建筑调查18940栋；市政设施调查中市政道路49.37公里；市政桥梁4座；并于2022年4月、2022年5月顺利通过市级核检、省级核检。</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3" w:firstLineChars="200"/>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sz w:val="32"/>
          <w:szCs w:val="32"/>
          <w:lang w:val="en-US" w:eastAsia="zh-CN"/>
        </w:rPr>
        <w:t>质量指标：</w:t>
      </w:r>
      <w:r>
        <w:rPr>
          <w:rFonts w:hint="eastAsia" w:ascii="仿宋_GB2312" w:hAnsi="仿宋_GB2312" w:eastAsia="仿宋_GB2312" w:cs="仿宋_GB2312"/>
          <w:b w:val="0"/>
          <w:bCs/>
          <w:sz w:val="32"/>
          <w:szCs w:val="32"/>
          <w:lang w:val="en-US" w:eastAsia="zh-CN"/>
        </w:rPr>
        <w:t>普查数据成果质检核查通过率农村房屋建筑调查97.6%；城镇房屋建筑调查94.8%；市政设施调查中市政道路100%；市政桥梁100%；目标完成。</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3" w:firstLineChars="200"/>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sz w:val="32"/>
          <w:szCs w:val="32"/>
          <w:lang w:val="en-US" w:eastAsia="zh-CN"/>
        </w:rPr>
        <w:t>实效指标：</w:t>
      </w:r>
      <w:r>
        <w:rPr>
          <w:rFonts w:hint="eastAsia" w:ascii="仿宋_GB2312" w:hAnsi="仿宋_GB2312" w:eastAsia="仿宋_GB2312" w:cs="仿宋_GB2312"/>
          <w:b w:val="0"/>
          <w:bCs/>
          <w:sz w:val="32"/>
          <w:szCs w:val="32"/>
          <w:lang w:val="en-US" w:eastAsia="zh-CN"/>
        </w:rPr>
        <w:t>按照合同约定时限完成所有普查任务，目标完成。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2.效益指标完成情况分析</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10" w:leftChars="0" w:firstLine="640" w:firstLineChars="0"/>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经济效益：</w:t>
      </w:r>
      <w:r>
        <w:rPr>
          <w:rFonts w:hint="eastAsia" w:ascii="仿宋_GB2312" w:hAnsi="仿宋_GB2312" w:eastAsia="仿宋_GB2312" w:cs="仿宋_GB2312"/>
          <w:b w:val="0"/>
          <w:bCs/>
          <w:sz w:val="32"/>
          <w:szCs w:val="32"/>
          <w:lang w:val="en-US" w:eastAsia="zh-CN"/>
        </w:rPr>
        <w:t>项目的实施普查成果为自然灾害防治、应急管理等工作提供科学依据，有效降低自然灾害带来的损失。</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10" w:leftChars="0" w:firstLine="640" w:firstLineChars="0"/>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sz w:val="32"/>
          <w:szCs w:val="32"/>
          <w:lang w:val="en-US" w:eastAsia="zh-CN"/>
        </w:rPr>
        <w:t>社会效益：</w:t>
      </w:r>
      <w:r>
        <w:rPr>
          <w:rFonts w:hint="eastAsia" w:ascii="仿宋_GB2312" w:hAnsi="仿宋_GB2312" w:eastAsia="仿宋_GB2312" w:cs="仿宋_GB2312"/>
          <w:b w:val="0"/>
          <w:bCs/>
          <w:sz w:val="32"/>
          <w:szCs w:val="32"/>
          <w:lang w:val="en-US" w:eastAsia="zh-CN"/>
        </w:rPr>
        <w:t>建立了山丹县房屋建筑和市政设施调查数据库，为非常态应急管理、常态灾害风险分析和防灾减灾、空间发展规划、生态文明建设等各项工作提供基础数据和科学决策依据。</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10" w:leftChars="0" w:firstLine="640" w:firstLineChars="0"/>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可持续影响：</w:t>
      </w:r>
      <w:r>
        <w:rPr>
          <w:rFonts w:hint="eastAsia" w:ascii="仿宋_GB2312" w:hAnsi="仿宋_GB2312" w:eastAsia="仿宋_GB2312" w:cs="仿宋_GB2312"/>
          <w:b w:val="0"/>
          <w:bCs/>
          <w:sz w:val="32"/>
          <w:szCs w:val="32"/>
          <w:lang w:val="en-US" w:eastAsia="zh-CN"/>
        </w:rPr>
        <w:t>为自然灾害防治、应急管理等工作提供科学依据，可有效降低自然灾害带来的损失。</w:t>
      </w:r>
      <w:bookmarkStart w:id="0" w:name="_GoBack"/>
      <w:bookmarkEnd w:id="0"/>
    </w:p>
    <w:p>
      <w:pPr>
        <w:keepNext w:val="0"/>
        <w:keepLines w:val="0"/>
        <w:widowControl/>
        <w:suppressLineNumbers w:val="0"/>
        <w:ind w:firstLine="643" w:firstLineChars="200"/>
        <w:jc w:val="left"/>
        <w:rPr>
          <w:rFonts w:hint="default" w:ascii="楷体_GB2312" w:eastAsia="楷体_GB2312"/>
          <w:b/>
          <w:sz w:val="32"/>
          <w:szCs w:val="32"/>
          <w:lang w:val="en-US" w:eastAsia="zh-CN"/>
        </w:rPr>
      </w:pPr>
      <w:r>
        <w:rPr>
          <w:rFonts w:hint="eastAsia" w:ascii="仿宋_GB2312" w:hAnsi="仿宋_GB2312" w:eastAsia="仿宋_GB2312" w:cs="仿宋_GB2312"/>
          <w:b/>
          <w:sz w:val="32"/>
          <w:szCs w:val="32"/>
          <w:lang w:val="en-US" w:eastAsia="zh-CN"/>
        </w:rPr>
        <w:t>3.满意度指标完成情况。</w:t>
      </w:r>
      <w:r>
        <w:rPr>
          <w:rFonts w:hint="eastAsia" w:ascii="宋体" w:hAnsi="宋体" w:eastAsia="宋体" w:cs="宋体"/>
          <w:color w:val="000000"/>
          <w:kern w:val="0"/>
          <w:sz w:val="31"/>
          <w:szCs w:val="31"/>
          <w:lang w:val="en-US" w:eastAsia="zh-CN" w:bidi="ar"/>
        </w:rPr>
        <w:t>社会公众对项目实施效益的满意度达到</w:t>
      </w:r>
      <w:r>
        <w:rPr>
          <w:rFonts w:hint="default" w:ascii="Times New Roman" w:hAnsi="Times New Roman" w:eastAsia="宋体" w:cs="Times New Roman"/>
          <w:color w:val="000000"/>
          <w:kern w:val="0"/>
          <w:sz w:val="31"/>
          <w:szCs w:val="31"/>
          <w:lang w:val="en-US" w:eastAsia="zh-CN" w:bidi="ar"/>
        </w:rPr>
        <w:t>9</w:t>
      </w:r>
      <w:r>
        <w:rPr>
          <w:rFonts w:hint="eastAsia" w:ascii="Times New Roman" w:hAnsi="Times New Roman" w:eastAsia="宋体" w:cs="Times New Roman"/>
          <w:color w:val="000000"/>
          <w:kern w:val="0"/>
          <w:sz w:val="31"/>
          <w:szCs w:val="31"/>
          <w:lang w:val="en-US" w:eastAsia="zh-CN" w:bidi="ar"/>
        </w:rPr>
        <w:t>0</w:t>
      </w:r>
      <w:r>
        <w:rPr>
          <w:rFonts w:hint="default" w:ascii="Times New Roman" w:hAnsi="Times New Roman" w:eastAsia="宋体" w:cs="Times New Roman"/>
          <w:color w:val="000000"/>
          <w:kern w:val="0"/>
          <w:sz w:val="31"/>
          <w:szCs w:val="31"/>
          <w:lang w:val="en-US" w:eastAsia="zh-CN" w:bidi="ar"/>
        </w:rPr>
        <w:t>%</w:t>
      </w:r>
      <w:r>
        <w:rPr>
          <w:rFonts w:hint="eastAsia" w:ascii="Times New Roman" w:hAnsi="Times New Roman" w:eastAsia="宋体" w:cs="Times New Roman"/>
          <w:color w:val="000000"/>
          <w:kern w:val="0"/>
          <w:sz w:val="31"/>
          <w:szCs w:val="31"/>
          <w:lang w:val="en-US" w:eastAsia="zh-CN" w:bidi="ar"/>
        </w:rPr>
        <w:t>以上</w:t>
      </w:r>
      <w:r>
        <w:rPr>
          <w:rFonts w:hint="eastAsia" w:ascii="宋体" w:hAnsi="宋体" w:eastAsia="宋体" w:cs="宋体"/>
          <w:color w:val="000000"/>
          <w:kern w:val="0"/>
          <w:sz w:val="31"/>
          <w:szCs w:val="31"/>
          <w:lang w:val="en-US" w:eastAsia="zh-CN" w:bidi="ar"/>
        </w:rPr>
        <w:t>，目标完成。</w:t>
      </w:r>
    </w:p>
    <w:p>
      <w:pPr>
        <w:spacing w:line="60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rPr>
        <w:t>三、</w:t>
      </w:r>
      <w:r>
        <w:rPr>
          <w:rFonts w:hint="eastAsia" w:ascii="黑体" w:hAnsi="黑体" w:eastAsia="黑体"/>
          <w:sz w:val="32"/>
          <w:szCs w:val="32"/>
          <w:lang w:val="en-US" w:eastAsia="zh-CN"/>
        </w:rPr>
        <w:t>下一步工作措施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textAlignment w:val="auto"/>
        <w:rPr>
          <w:rFonts w:hint="eastAsia" w:ascii="仿宋_GB2312" w:hAnsi="仿宋_GB2312" w:eastAsia="仿宋_GB2312" w:cs="仿宋_GB2312"/>
          <w:color w:val="000000"/>
          <w:kern w:val="0"/>
          <w:sz w:val="32"/>
          <w:szCs w:val="32"/>
          <w:lang w:val="en-US" w:eastAsia="zh-CN" w:bidi="ar"/>
        </w:rPr>
      </w:pPr>
      <w:r>
        <w:rPr>
          <w:rFonts w:hint="eastAsia" w:ascii="楷体" w:hAnsi="楷体" w:eastAsia="楷体" w:cs="楷体"/>
          <w:b/>
          <w:bCs/>
          <w:color w:val="000000"/>
          <w:kern w:val="0"/>
          <w:sz w:val="32"/>
          <w:szCs w:val="32"/>
          <w:lang w:val="en-US" w:eastAsia="zh-CN" w:bidi="ar"/>
        </w:rPr>
        <w:t>（一）加强资金管理。</w:t>
      </w:r>
      <w:r>
        <w:rPr>
          <w:rFonts w:hint="eastAsia" w:ascii="仿宋_GB2312" w:hAnsi="仿宋_GB2312" w:eastAsia="仿宋_GB2312" w:cs="仿宋_GB2312"/>
          <w:color w:val="000000"/>
          <w:kern w:val="0"/>
          <w:sz w:val="32"/>
          <w:szCs w:val="32"/>
          <w:lang w:val="en-US" w:eastAsia="zh-CN" w:bidi="ar"/>
        </w:rPr>
        <w:t>加强与上级部门的对接，积极争取上级财政补助资金，在落实好普查经费的同时，加强资金使用的监督和绩效管理，确保专款专用，提升资金使用绩效。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textAlignment w:val="auto"/>
        <w:rPr>
          <w:rFonts w:hint="eastAsia" w:ascii="仿宋_GB2312" w:hAnsi="仿宋_GB2312" w:eastAsia="仿宋_GB2312" w:cs="仿宋_GB2312"/>
          <w:color w:val="000000"/>
          <w:kern w:val="0"/>
          <w:sz w:val="32"/>
          <w:szCs w:val="32"/>
          <w:lang w:val="en-US" w:eastAsia="zh-CN" w:bidi="ar"/>
        </w:rPr>
      </w:pPr>
      <w:r>
        <w:rPr>
          <w:rFonts w:hint="eastAsia" w:ascii="楷体" w:hAnsi="楷体" w:eastAsia="楷体" w:cs="楷体"/>
          <w:b/>
          <w:bCs/>
          <w:i w:val="0"/>
          <w:iCs w:val="0"/>
          <w:caps w:val="0"/>
          <w:color w:val="333333"/>
          <w:spacing w:val="0"/>
          <w:sz w:val="32"/>
          <w:szCs w:val="32"/>
          <w:shd w:val="clear" w:fill="FFFFFF"/>
        </w:rPr>
        <w:t>（</w:t>
      </w:r>
      <w:r>
        <w:rPr>
          <w:rFonts w:hint="eastAsia" w:ascii="楷体" w:hAnsi="楷体" w:eastAsia="楷体" w:cs="楷体"/>
          <w:b/>
          <w:bCs/>
          <w:i w:val="0"/>
          <w:iCs w:val="0"/>
          <w:caps w:val="0"/>
          <w:color w:val="333333"/>
          <w:spacing w:val="0"/>
          <w:sz w:val="32"/>
          <w:szCs w:val="32"/>
          <w:shd w:val="clear" w:fill="FFFFFF"/>
          <w:lang w:val="en-US" w:eastAsia="zh-CN"/>
        </w:rPr>
        <w:t>二</w:t>
      </w:r>
      <w:r>
        <w:rPr>
          <w:rFonts w:hint="eastAsia" w:ascii="楷体" w:hAnsi="楷体" w:eastAsia="楷体" w:cs="楷体"/>
          <w:b/>
          <w:bCs/>
          <w:i w:val="0"/>
          <w:iCs w:val="0"/>
          <w:caps w:val="0"/>
          <w:color w:val="333333"/>
          <w:spacing w:val="0"/>
          <w:sz w:val="32"/>
          <w:szCs w:val="32"/>
          <w:shd w:val="clear" w:fill="FFFFFF"/>
        </w:rPr>
        <w:t>）加强总结提炼。</w:t>
      </w:r>
      <w:r>
        <w:rPr>
          <w:rFonts w:hint="eastAsia" w:ascii="仿宋_GB2312" w:hAnsi="仿宋_GB2312" w:eastAsia="仿宋_GB2312" w:cs="仿宋_GB2312"/>
          <w:color w:val="000000"/>
          <w:kern w:val="0"/>
          <w:sz w:val="32"/>
          <w:szCs w:val="32"/>
          <w:lang w:val="en-US" w:eastAsia="zh-CN" w:bidi="ar"/>
        </w:rPr>
        <w:t>充分发挥技术团队的作用，强化成果应用及经验总结，持续将普查数据和成果应用到日常的应急管理、防灾减灾救灾、社会治理和风险管理等各项工作中，让普查成果更好地服务全县经济社会发展，最大程度防范化解各类灾害风险，有效降低自然灾害带来的损失。</w:t>
      </w:r>
    </w:p>
    <w:p>
      <w:pPr>
        <w:spacing w:line="600" w:lineRule="exact"/>
        <w:ind w:firstLine="643" w:firstLineChars="200"/>
        <w:rPr>
          <w:rFonts w:hint="eastAsia" w:ascii="仿宋_GB2312" w:hAnsi="仿宋_GB2312" w:eastAsia="仿宋_GB2312" w:cs="仿宋_GB2312"/>
          <w:color w:val="000000"/>
          <w:kern w:val="0"/>
          <w:sz w:val="32"/>
          <w:szCs w:val="32"/>
          <w:lang w:val="en-US" w:eastAsia="zh-CN" w:bidi="ar"/>
        </w:rPr>
      </w:pPr>
      <w:r>
        <w:rPr>
          <w:rFonts w:hint="eastAsia" w:ascii="楷体" w:hAnsi="楷体" w:eastAsia="楷体" w:cs="楷体"/>
          <w:b/>
          <w:bCs/>
          <w:i w:val="0"/>
          <w:iCs w:val="0"/>
          <w:caps w:val="0"/>
          <w:color w:val="333333"/>
          <w:spacing w:val="0"/>
          <w:sz w:val="32"/>
          <w:szCs w:val="32"/>
          <w:shd w:val="clear" w:fill="FFFFFF"/>
        </w:rPr>
        <w:t>（</w:t>
      </w:r>
      <w:r>
        <w:rPr>
          <w:rFonts w:hint="eastAsia" w:ascii="楷体" w:hAnsi="楷体" w:eastAsia="楷体" w:cs="楷体"/>
          <w:b/>
          <w:bCs/>
          <w:i w:val="0"/>
          <w:iCs w:val="0"/>
          <w:caps w:val="0"/>
          <w:color w:val="333333"/>
          <w:spacing w:val="0"/>
          <w:sz w:val="32"/>
          <w:szCs w:val="32"/>
          <w:shd w:val="clear" w:fill="FFFFFF"/>
          <w:lang w:val="en-US" w:eastAsia="zh-CN"/>
        </w:rPr>
        <w:t>三</w:t>
      </w:r>
      <w:r>
        <w:rPr>
          <w:rFonts w:hint="eastAsia" w:ascii="楷体" w:hAnsi="楷体" w:eastAsia="楷体" w:cs="楷体"/>
          <w:b/>
          <w:bCs/>
          <w:i w:val="0"/>
          <w:iCs w:val="0"/>
          <w:caps w:val="0"/>
          <w:color w:val="333333"/>
          <w:spacing w:val="0"/>
          <w:sz w:val="32"/>
          <w:szCs w:val="32"/>
          <w:shd w:val="clear" w:fill="FFFFFF"/>
        </w:rPr>
        <w:t>）</w:t>
      </w:r>
      <w:r>
        <w:rPr>
          <w:rFonts w:hint="eastAsia" w:ascii="楷体" w:hAnsi="楷体" w:eastAsia="楷体" w:cs="楷体"/>
          <w:b/>
          <w:bCs/>
          <w:i w:val="0"/>
          <w:iCs w:val="0"/>
          <w:caps w:val="0"/>
          <w:color w:val="333333"/>
          <w:spacing w:val="0"/>
          <w:sz w:val="32"/>
          <w:szCs w:val="32"/>
          <w:shd w:val="clear" w:fill="FFFFFF"/>
          <w:lang w:val="en-US" w:eastAsia="zh-CN"/>
        </w:rPr>
        <w:t>持续动态监测。</w:t>
      </w:r>
      <w:r>
        <w:rPr>
          <w:rFonts w:hint="eastAsia" w:ascii="仿宋_GB2312" w:hAnsi="仿宋_GB2312" w:eastAsia="仿宋_GB2312" w:cs="仿宋_GB2312"/>
          <w:color w:val="000000"/>
          <w:kern w:val="0"/>
          <w:sz w:val="32"/>
          <w:szCs w:val="32"/>
          <w:lang w:val="en-US" w:eastAsia="zh-CN" w:bidi="ar"/>
        </w:rPr>
        <w:t>持续加大对重点对象、重点区域的住房和市政基础设施的动态监测，坚持排查全覆盖与精准监测同步抓，做实、做细房屋建筑和市政设施安全运行基础工作，为防范化解重大灾害风险提供重要科学依据，切实保障好人民群众生命财产安全和国家安全。</w:t>
      </w:r>
    </w:p>
    <w:p>
      <w:pPr>
        <w:spacing w:line="600" w:lineRule="exact"/>
        <w:ind w:firstLine="640" w:firstLineChars="200"/>
        <w:rPr>
          <w:rFonts w:hint="default" w:ascii="黑体" w:hAnsi="黑体" w:eastAsia="黑体"/>
          <w:sz w:val="32"/>
          <w:szCs w:val="32"/>
          <w:lang w:val="en-US" w:eastAsia="zh-CN"/>
        </w:rPr>
      </w:pPr>
      <w:r>
        <w:rPr>
          <w:rFonts w:hint="eastAsia" w:ascii="黑体" w:hAnsi="黑体" w:eastAsia="黑体"/>
          <w:sz w:val="32"/>
          <w:szCs w:val="32"/>
        </w:rPr>
        <w:t>四、</w:t>
      </w:r>
      <w:r>
        <w:rPr>
          <w:rFonts w:hint="eastAsia" w:ascii="黑体" w:hAnsi="黑体" w:eastAsia="黑体"/>
          <w:sz w:val="32"/>
          <w:szCs w:val="32"/>
          <w:lang w:val="en-US" w:eastAsia="zh-CN"/>
        </w:rPr>
        <w:t>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rPr>
        <w:t>根据项目支出绩效自评指标评分表评分标准，综合自评得分9</w:t>
      </w:r>
      <w:r>
        <w:rPr>
          <w:rFonts w:hint="eastAsia" w:ascii="仿宋_GB2312" w:eastAsia="仿宋_GB2312"/>
          <w:sz w:val="32"/>
          <w:szCs w:val="32"/>
          <w:lang w:val="en-US" w:eastAsia="zh-CN"/>
        </w:rPr>
        <w:t>1</w:t>
      </w:r>
      <w:r>
        <w:rPr>
          <w:rFonts w:hint="eastAsia" w:ascii="仿宋_GB2312" w:eastAsia="仿宋_GB2312"/>
          <w:sz w:val="32"/>
          <w:szCs w:val="32"/>
        </w:rPr>
        <w:t>分</w:t>
      </w:r>
      <w:r>
        <w:rPr>
          <w:rFonts w:hint="eastAsia" w:ascii="仿宋_GB2312" w:eastAsia="仿宋_GB2312"/>
          <w:sz w:val="32"/>
          <w:szCs w:val="32"/>
          <w:lang w:val="en-US" w:eastAsia="zh-CN"/>
        </w:rPr>
        <w:t>,</w:t>
      </w:r>
      <w:r>
        <w:rPr>
          <w:rFonts w:hint="eastAsia" w:ascii="仿宋" w:hAnsi="仿宋" w:eastAsia="仿宋" w:cs="仿宋"/>
          <w:b w:val="0"/>
          <w:bCs w:val="0"/>
          <w:color w:val="auto"/>
          <w:spacing w:val="-6"/>
          <w:sz w:val="32"/>
          <w:szCs w:val="32"/>
          <w:lang w:val="en-US" w:eastAsia="zh-CN"/>
        </w:rPr>
        <w:t>评价结果为优秀。</w:t>
      </w:r>
      <w:r>
        <w:rPr>
          <w:rFonts w:hint="eastAsia" w:ascii="仿宋_GB2312" w:eastAsia="仿宋_GB2312"/>
          <w:sz w:val="32"/>
          <w:szCs w:val="32"/>
          <w:lang w:val="en-US" w:eastAsia="zh-CN"/>
        </w:rPr>
        <w:t>对本绩效自评结果我局将在今后的项目实施中积极加以应用，同时将在一定范围内公开具体情况，接受群众监督。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山丹县住房和城乡建设局</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2023年12月20日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AA2915"/>
    <w:multiLevelType w:val="singleLevel"/>
    <w:tmpl w:val="83AA2915"/>
    <w:lvl w:ilvl="0" w:tentative="0">
      <w:start w:val="1"/>
      <w:numFmt w:val="decimal"/>
      <w:suff w:val="nothing"/>
      <w:lvlText w:val="（%1）"/>
      <w:lvlJc w:val="left"/>
      <w:pPr>
        <w:ind w:left="963" w:leftChars="0" w:firstLine="0" w:firstLineChars="0"/>
      </w:pPr>
      <w:rPr>
        <w:rFonts w:hint="default" w:ascii="仿宋_GB2312" w:hAnsi="仿宋_GB2312" w:eastAsia="仿宋_GB2312" w:cs="仿宋_GB2312"/>
        <w:b/>
        <w:bCs/>
        <w:sz w:val="32"/>
        <w:szCs w:val="32"/>
      </w:rPr>
    </w:lvl>
  </w:abstractNum>
  <w:abstractNum w:abstractNumId="1">
    <w:nsid w:val="B9F97E85"/>
    <w:multiLevelType w:val="singleLevel"/>
    <w:tmpl w:val="B9F97E85"/>
    <w:lvl w:ilvl="0" w:tentative="0">
      <w:start w:val="1"/>
      <w:numFmt w:val="decimal"/>
      <w:suff w:val="nothing"/>
      <w:lvlText w:val="（%1）"/>
      <w:lvlJc w:val="left"/>
      <w:pPr>
        <w:ind w:left="941" w:leftChars="0" w:firstLine="0" w:firstLineChars="0"/>
      </w:pPr>
      <w:rPr>
        <w:rFonts w:hint="default" w:ascii="仿宋_GB2312" w:hAnsi="仿宋_GB2312" w:eastAsia="仿宋_GB2312" w:cs="仿宋_GB2312"/>
        <w:b/>
        <w:bCs/>
        <w:sz w:val="32"/>
        <w:szCs w:val="32"/>
      </w:rPr>
    </w:lvl>
  </w:abstractNum>
  <w:abstractNum w:abstractNumId="2">
    <w:nsid w:val="FA59F4BC"/>
    <w:multiLevelType w:val="singleLevel"/>
    <w:tmpl w:val="FA59F4BC"/>
    <w:lvl w:ilvl="0" w:tentative="0">
      <w:start w:val="1"/>
      <w:numFmt w:val="chineseCounting"/>
      <w:suff w:val="nothing"/>
      <w:lvlText w:val="（%1）"/>
      <w:lvlJc w:val="left"/>
      <w:rPr>
        <w:rFonts w:hint="eastAsia" w:ascii="楷体" w:hAnsi="楷体" w:eastAsia="楷体" w:cs="楷体"/>
        <w:b/>
        <w:bCs/>
        <w:sz w:val="32"/>
        <w:szCs w:val="32"/>
      </w:rPr>
    </w:lvl>
  </w:abstractNum>
  <w:abstractNum w:abstractNumId="3">
    <w:nsid w:val="3B1CB90A"/>
    <w:multiLevelType w:val="singleLevel"/>
    <w:tmpl w:val="3B1CB90A"/>
    <w:lvl w:ilvl="0" w:tentative="0">
      <w:start w:val="2"/>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ZmIzZjhhOGVjNjNjZjY3NmRiNzRkYWVhNzI4ODE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ECA2393"/>
    <w:rsid w:val="13F46BB4"/>
    <w:rsid w:val="1CC72DF7"/>
    <w:rsid w:val="317D4300"/>
    <w:rsid w:val="31A82115"/>
    <w:rsid w:val="51211044"/>
    <w:rsid w:val="52DC4B00"/>
    <w:rsid w:val="70D069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autoRedefine/>
    <w:qFormat/>
    <w:uiPriority w:val="0"/>
    <w:rPr>
      <w:rFonts w:ascii="Calibri"/>
      <w:kern w:val="2"/>
      <w:sz w:val="18"/>
      <w:szCs w:val="18"/>
    </w:rPr>
  </w:style>
  <w:style w:type="character" w:customStyle="1" w:styleId="8">
    <w:name w:val="页脚 Char"/>
    <w:basedOn w:val="6"/>
    <w:link w:val="2"/>
    <w:autoRedefine/>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444444"/>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18</TotalTime>
  <ScaleCrop>false</ScaleCrop>
  <LinksUpToDate>false</LinksUpToDate>
  <CharactersWithSpaces>325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ж</cp:lastModifiedBy>
  <cp:lastPrinted>2024-03-12T01:58:17Z</cp:lastPrinted>
  <dcterms:modified xsi:type="dcterms:W3CDTF">2024-03-12T02:00:31Z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3A49388D598048ACA7BC080444C907D9_13</vt:lpwstr>
  </property>
</Properties>
</file>