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43A76">
      <w:pPr>
        <w:widowControl/>
        <w:spacing w:line="360" w:lineRule="auto"/>
        <w:ind w:left="-148" w:leftChars="-71" w:right="-403" w:rightChars="-192" w:hanging="1"/>
        <w:jc w:val="center"/>
        <w:rPr>
          <w:rFonts w:ascii="宋体" w:hAnsi="宋体" w:eastAsia="宋体" w:cs="Arial"/>
          <w:b/>
          <w:kern w:val="0"/>
          <w:sz w:val="32"/>
          <w:szCs w:val="32"/>
        </w:rPr>
      </w:pPr>
      <w:bookmarkStart w:id="0" w:name="_GoBack"/>
      <w:bookmarkEnd w:id="0"/>
    </w:p>
    <w:p w14:paraId="0D9E0CEB">
      <w:pPr>
        <w:widowControl/>
        <w:spacing w:line="360" w:lineRule="auto"/>
        <w:ind w:left="-148" w:leftChars="-71" w:right="-403" w:rightChars="-192" w:hanging="1"/>
        <w:jc w:val="center"/>
        <w:rPr>
          <w:rFonts w:ascii="宋体" w:hAnsi="宋体" w:eastAsia="宋体" w:cs="Arial"/>
          <w:b/>
          <w:kern w:val="0"/>
          <w:sz w:val="32"/>
          <w:szCs w:val="32"/>
        </w:rPr>
      </w:pPr>
    </w:p>
    <w:p w14:paraId="2868674E">
      <w:pPr>
        <w:widowControl/>
        <w:spacing w:line="360" w:lineRule="auto"/>
        <w:ind w:left="-148" w:leftChars="-71" w:right="-403" w:rightChars="-192" w:hanging="1"/>
        <w:jc w:val="center"/>
        <w:rPr>
          <w:rFonts w:ascii="宋体" w:hAnsi="宋体" w:eastAsia="宋体" w:cs="Arial"/>
          <w:b/>
          <w:kern w:val="0"/>
          <w:sz w:val="32"/>
          <w:szCs w:val="32"/>
        </w:rPr>
      </w:pPr>
    </w:p>
    <w:p w14:paraId="7A7427EA">
      <w:pPr>
        <w:widowControl/>
        <w:spacing w:line="720" w:lineRule="auto"/>
        <w:ind w:left="-148" w:leftChars="-71" w:right="-403" w:rightChars="-192" w:hanging="1"/>
        <w:jc w:val="center"/>
        <w:rPr>
          <w:rFonts w:ascii="宋体" w:hAnsi="宋体" w:eastAsia="宋体" w:cs="Arial"/>
          <w:b/>
          <w:kern w:val="0"/>
          <w:sz w:val="36"/>
          <w:szCs w:val="36"/>
        </w:rPr>
      </w:pPr>
      <w:r>
        <w:rPr>
          <w:rFonts w:hint="eastAsia" w:ascii="宋体" w:hAnsi="宋体" w:eastAsia="宋体" w:cs="Arial"/>
          <w:b/>
          <w:kern w:val="0"/>
          <w:sz w:val="36"/>
          <w:szCs w:val="36"/>
        </w:rPr>
        <w:t>山丹县仓储物流中心建设项目</w:t>
      </w:r>
    </w:p>
    <w:p w14:paraId="3D483F9A">
      <w:pPr>
        <w:widowControl/>
        <w:spacing w:line="720" w:lineRule="auto"/>
        <w:ind w:left="-148" w:leftChars="-71" w:right="-403" w:rightChars="-192" w:hanging="1"/>
        <w:jc w:val="center"/>
        <w:rPr>
          <w:rFonts w:ascii="宋体" w:hAnsi="宋体" w:eastAsia="宋体" w:cs="Arial"/>
          <w:b/>
          <w:kern w:val="0"/>
          <w:sz w:val="36"/>
          <w:szCs w:val="36"/>
        </w:rPr>
      </w:pPr>
      <w:r>
        <w:rPr>
          <w:rFonts w:hint="eastAsia" w:ascii="宋体" w:hAnsi="宋体" w:eastAsia="宋体" w:cs="Arial"/>
          <w:b/>
          <w:kern w:val="0"/>
          <w:sz w:val="36"/>
          <w:szCs w:val="36"/>
        </w:rPr>
        <w:t>建设项目事前绩效自评报告</w:t>
      </w:r>
    </w:p>
    <w:p w14:paraId="273CFFAA">
      <w:pPr>
        <w:ind w:firstLine="2650" w:firstLineChars="1100"/>
        <w:jc w:val="center"/>
        <w:rPr>
          <w:rFonts w:ascii="宋体" w:hAnsi="宋体" w:cs="Arial"/>
          <w:b/>
          <w:snapToGrid w:val="0"/>
          <w:sz w:val="24"/>
        </w:rPr>
      </w:pPr>
    </w:p>
    <w:p w14:paraId="53408337">
      <w:pPr>
        <w:ind w:firstLine="560" w:firstLineChars="200"/>
        <w:jc w:val="center"/>
        <w:rPr>
          <w:rFonts w:ascii="仿宋" w:hAnsi="仿宋" w:eastAsia="仿宋" w:cs="仿宋"/>
          <w:sz w:val="28"/>
          <w:szCs w:val="28"/>
        </w:rPr>
      </w:pPr>
    </w:p>
    <w:p w14:paraId="3DB2AC7C">
      <w:pPr>
        <w:spacing w:line="348" w:lineRule="auto"/>
        <w:ind w:firstLine="420" w:firstLineChars="150"/>
        <w:jc w:val="center"/>
        <w:rPr>
          <w:rFonts w:ascii="仿宋_GB2312" w:eastAsia="仿宋_GB2312"/>
          <w:sz w:val="28"/>
          <w:szCs w:val="28"/>
          <w:u w:val="single"/>
        </w:rPr>
      </w:pPr>
    </w:p>
    <w:p w14:paraId="258F277F">
      <w:pPr>
        <w:ind w:firstLine="480" w:firstLineChars="150"/>
        <w:jc w:val="center"/>
        <w:rPr>
          <w:rFonts w:ascii="仿宋_GB2312" w:eastAsia="仿宋_GB2312"/>
          <w:sz w:val="32"/>
          <w:u w:val="single"/>
        </w:rPr>
      </w:pPr>
    </w:p>
    <w:p w14:paraId="62B71C4A">
      <w:pPr>
        <w:ind w:firstLine="480" w:firstLineChars="150"/>
        <w:jc w:val="center"/>
        <w:rPr>
          <w:rFonts w:ascii="仿宋_GB2312" w:eastAsia="仿宋_GB2312"/>
          <w:sz w:val="32"/>
          <w:u w:val="single"/>
        </w:rPr>
      </w:pPr>
    </w:p>
    <w:p w14:paraId="4230B23D">
      <w:pPr>
        <w:ind w:firstLine="480" w:firstLineChars="150"/>
        <w:jc w:val="center"/>
        <w:rPr>
          <w:rFonts w:ascii="仿宋_GB2312" w:eastAsia="仿宋_GB2312"/>
          <w:sz w:val="32"/>
          <w:u w:val="single"/>
        </w:rPr>
      </w:pPr>
    </w:p>
    <w:p w14:paraId="1215F5F1">
      <w:pPr>
        <w:ind w:firstLine="480" w:firstLineChars="150"/>
        <w:jc w:val="center"/>
        <w:rPr>
          <w:rFonts w:ascii="仿宋_GB2312" w:eastAsia="仿宋_GB2312"/>
          <w:sz w:val="32"/>
          <w:u w:val="single"/>
        </w:rPr>
      </w:pPr>
    </w:p>
    <w:p w14:paraId="1BFD1497">
      <w:pPr>
        <w:ind w:firstLine="480" w:firstLineChars="150"/>
        <w:jc w:val="center"/>
        <w:rPr>
          <w:rFonts w:ascii="仿宋_GB2312" w:eastAsia="仿宋_GB2312"/>
          <w:sz w:val="32"/>
          <w:u w:val="single"/>
        </w:rPr>
      </w:pPr>
    </w:p>
    <w:p w14:paraId="36A28B3F">
      <w:pPr>
        <w:ind w:firstLine="640" w:firstLineChars="200"/>
        <w:jc w:val="center"/>
        <w:rPr>
          <w:rFonts w:ascii="仿宋_GB2312" w:eastAsia="仿宋_GB2312"/>
          <w:sz w:val="32"/>
        </w:rPr>
      </w:pPr>
    </w:p>
    <w:p w14:paraId="59C48E6E">
      <w:pPr>
        <w:ind w:firstLine="640" w:firstLineChars="200"/>
        <w:jc w:val="center"/>
        <w:rPr>
          <w:rFonts w:ascii="仿宋_GB2312" w:eastAsia="仿宋_GB2312"/>
          <w:sz w:val="32"/>
        </w:rPr>
      </w:pPr>
    </w:p>
    <w:p w14:paraId="0B75D93E">
      <w:pPr>
        <w:ind w:firstLine="640" w:firstLineChars="200"/>
        <w:jc w:val="center"/>
        <w:rPr>
          <w:rFonts w:ascii="仿宋_GB2312" w:eastAsia="仿宋_GB2312"/>
          <w:sz w:val="32"/>
        </w:rPr>
      </w:pPr>
    </w:p>
    <w:p w14:paraId="56B3A510">
      <w:pPr>
        <w:spacing w:line="360" w:lineRule="auto"/>
        <w:jc w:val="center"/>
        <w:rPr>
          <w:rFonts w:ascii="Arial" w:hAnsi="Arial" w:cs="Arial"/>
          <w:sz w:val="28"/>
        </w:rPr>
      </w:pPr>
    </w:p>
    <w:p w14:paraId="695A878E">
      <w:pPr>
        <w:widowControl/>
        <w:spacing w:line="720" w:lineRule="auto"/>
        <w:ind w:left="-148" w:leftChars="-71" w:right="-403" w:rightChars="-192" w:hanging="1"/>
        <w:jc w:val="center"/>
        <w:rPr>
          <w:rFonts w:ascii="宋体" w:hAnsi="宋体" w:eastAsia="宋体" w:cs="Arial"/>
          <w:b/>
          <w:kern w:val="0"/>
          <w:sz w:val="36"/>
          <w:szCs w:val="36"/>
        </w:rPr>
      </w:pPr>
      <w:r>
        <w:rPr>
          <w:rFonts w:hint="eastAsia" w:ascii="宋体" w:hAnsi="宋体" w:eastAsia="宋体" w:cs="Arial"/>
          <w:b/>
          <w:kern w:val="0"/>
          <w:sz w:val="36"/>
          <w:szCs w:val="36"/>
        </w:rPr>
        <w:t>20</w:t>
      </w:r>
      <w:r>
        <w:rPr>
          <w:rFonts w:ascii="宋体" w:hAnsi="宋体" w:eastAsia="宋体" w:cs="Arial"/>
          <w:b/>
          <w:kern w:val="0"/>
          <w:sz w:val="36"/>
          <w:szCs w:val="36"/>
        </w:rPr>
        <w:t>2</w:t>
      </w:r>
      <w:r>
        <w:rPr>
          <w:rFonts w:hint="eastAsia" w:ascii="宋体" w:hAnsi="宋体" w:eastAsia="宋体" w:cs="Arial"/>
          <w:b/>
          <w:kern w:val="0"/>
          <w:sz w:val="36"/>
          <w:szCs w:val="36"/>
          <w:lang w:val="en-US" w:eastAsia="zh-CN"/>
        </w:rPr>
        <w:t>4</w:t>
      </w:r>
      <w:r>
        <w:rPr>
          <w:rFonts w:hint="eastAsia" w:ascii="宋体" w:hAnsi="宋体" w:eastAsia="宋体" w:cs="Arial"/>
          <w:b/>
          <w:kern w:val="0"/>
          <w:sz w:val="36"/>
          <w:szCs w:val="36"/>
        </w:rPr>
        <w:t>年</w:t>
      </w:r>
      <w:r>
        <w:rPr>
          <w:rFonts w:hint="eastAsia" w:ascii="宋体" w:hAnsi="宋体" w:eastAsia="宋体" w:cs="Arial"/>
          <w:b/>
          <w:kern w:val="0"/>
          <w:sz w:val="36"/>
          <w:szCs w:val="36"/>
          <w:lang w:val="en-US" w:eastAsia="zh-CN"/>
        </w:rPr>
        <w:t>2</w:t>
      </w:r>
      <w:r>
        <w:rPr>
          <w:rFonts w:hint="eastAsia" w:ascii="宋体" w:hAnsi="宋体" w:eastAsia="宋体" w:cs="Arial"/>
          <w:b/>
          <w:kern w:val="0"/>
          <w:sz w:val="36"/>
          <w:szCs w:val="36"/>
        </w:rPr>
        <w:t>月</w:t>
      </w:r>
    </w:p>
    <w:p w14:paraId="68B1C76B">
      <w:pPr>
        <w:widowControl/>
        <w:spacing w:line="360" w:lineRule="auto"/>
        <w:ind w:left="-148" w:leftChars="-71" w:right="-403" w:rightChars="-192" w:hanging="1"/>
        <w:jc w:val="center"/>
        <w:rPr>
          <w:rFonts w:ascii="宋体" w:hAnsi="宋体" w:eastAsia="宋体" w:cs="Arial"/>
          <w:b/>
          <w:kern w:val="0"/>
          <w:sz w:val="36"/>
          <w:szCs w:val="36"/>
        </w:rPr>
      </w:pPr>
    </w:p>
    <w:p w14:paraId="5EFEFBAC">
      <w:pPr>
        <w:widowControl/>
        <w:spacing w:line="360" w:lineRule="auto"/>
        <w:ind w:left="-148" w:leftChars="-71" w:right="-403" w:rightChars="-192" w:hanging="1"/>
        <w:jc w:val="center"/>
        <w:rPr>
          <w:rFonts w:ascii="宋体" w:hAnsi="宋体" w:eastAsia="宋体" w:cs="Arial"/>
          <w:b/>
          <w:kern w:val="0"/>
          <w:sz w:val="36"/>
          <w:szCs w:val="36"/>
        </w:rPr>
      </w:pPr>
    </w:p>
    <w:p w14:paraId="56CC322B">
      <w:pPr>
        <w:widowControl/>
        <w:spacing w:line="360" w:lineRule="auto"/>
        <w:ind w:left="-148" w:leftChars="-71" w:right="-403" w:rightChars="-192" w:hanging="1"/>
        <w:jc w:val="center"/>
        <w:rPr>
          <w:rFonts w:ascii="宋体" w:hAnsi="宋体" w:eastAsia="宋体" w:cs="Arial"/>
          <w:b/>
          <w:kern w:val="0"/>
          <w:sz w:val="36"/>
          <w:szCs w:val="36"/>
        </w:rPr>
      </w:pPr>
    </w:p>
    <w:p w14:paraId="380F578F">
      <w:pPr>
        <w:widowControl/>
        <w:spacing w:line="360" w:lineRule="auto"/>
        <w:ind w:left="-148" w:leftChars="-71" w:right="-403" w:rightChars="-192" w:hanging="1"/>
        <w:jc w:val="center"/>
        <w:rPr>
          <w:rFonts w:ascii="宋体" w:hAnsi="宋体" w:eastAsia="宋体" w:cs="Arial"/>
          <w:b/>
          <w:kern w:val="0"/>
          <w:sz w:val="36"/>
          <w:szCs w:val="36"/>
        </w:rPr>
      </w:pPr>
      <w:r>
        <w:rPr>
          <w:rFonts w:hint="eastAsia" w:ascii="宋体" w:hAnsi="宋体" w:eastAsia="宋体" w:cs="Arial"/>
          <w:b/>
          <w:kern w:val="0"/>
          <w:sz w:val="36"/>
          <w:szCs w:val="36"/>
        </w:rPr>
        <w:t>山丹县仓储物流中心建设项目</w:t>
      </w:r>
    </w:p>
    <w:p w14:paraId="19ED7FD8">
      <w:pPr>
        <w:widowControl/>
        <w:spacing w:line="360" w:lineRule="auto"/>
        <w:ind w:left="-148" w:leftChars="-71" w:right="-403" w:rightChars="-192" w:hanging="1"/>
        <w:jc w:val="center"/>
        <w:rPr>
          <w:rFonts w:ascii="宋体" w:hAnsi="宋体" w:eastAsia="宋体" w:cs="Arial"/>
          <w:b/>
          <w:kern w:val="0"/>
          <w:sz w:val="36"/>
          <w:szCs w:val="36"/>
        </w:rPr>
      </w:pPr>
      <w:r>
        <w:rPr>
          <w:rFonts w:hint="eastAsia" w:ascii="宋体" w:hAnsi="宋体" w:eastAsia="宋体" w:cs="Arial"/>
          <w:b/>
          <w:kern w:val="0"/>
          <w:sz w:val="36"/>
          <w:szCs w:val="36"/>
        </w:rPr>
        <w:t>建设项目事前绩效自评报告</w:t>
      </w:r>
    </w:p>
    <w:p w14:paraId="3A65A23A">
      <w:pPr>
        <w:spacing w:line="480" w:lineRule="auto"/>
        <w:rPr>
          <w:rFonts w:ascii="黑体" w:hAnsi="黑体" w:eastAsia="黑体" w:cs="Arial"/>
          <w:b/>
          <w:sz w:val="36"/>
          <w:szCs w:val="36"/>
          <w:highlight w:val="yellow"/>
        </w:rPr>
      </w:pPr>
    </w:p>
    <w:p w14:paraId="675884F3">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一、评估对象</w:t>
      </w:r>
    </w:p>
    <w:p w14:paraId="1F955168">
      <w:pPr>
        <w:widowControl/>
        <w:spacing w:line="480" w:lineRule="auto"/>
        <w:ind w:firstLine="480" w:firstLineChars="200"/>
        <w:rPr>
          <w:rFonts w:cs="Arial" w:asciiTheme="minorEastAsia" w:hAnsiTheme="minorEastAsia"/>
          <w:kern w:val="0"/>
          <w:sz w:val="24"/>
        </w:rPr>
      </w:pPr>
      <w:r>
        <w:rPr>
          <w:rFonts w:cs="Arial" w:asciiTheme="minorEastAsia" w:hAnsiTheme="minorEastAsia"/>
          <w:kern w:val="0"/>
          <w:sz w:val="24"/>
        </w:rPr>
        <w:t>项目名称</w:t>
      </w:r>
      <w:r>
        <w:rPr>
          <w:rFonts w:hint="eastAsia" w:cs="Arial" w:asciiTheme="minorEastAsia" w:hAnsiTheme="minorEastAsia"/>
          <w:kern w:val="0"/>
          <w:sz w:val="24"/>
        </w:rPr>
        <w:t>：山丹县仓储物流中心建设项目建设项目</w:t>
      </w:r>
    </w:p>
    <w:p w14:paraId="3BAA6EE6">
      <w:pPr>
        <w:widowControl/>
        <w:spacing w:line="480" w:lineRule="auto"/>
        <w:ind w:firstLine="480" w:firstLineChars="200"/>
        <w:rPr>
          <w:rFonts w:cs="Arial" w:asciiTheme="minorEastAsia" w:hAnsiTheme="minorEastAsia"/>
          <w:kern w:val="0"/>
          <w:sz w:val="24"/>
        </w:rPr>
      </w:pPr>
      <w:r>
        <w:rPr>
          <w:rFonts w:cs="Arial" w:asciiTheme="minorEastAsia" w:hAnsiTheme="minorEastAsia"/>
          <w:kern w:val="0"/>
          <w:sz w:val="24"/>
        </w:rPr>
        <w:t>项目</w:t>
      </w:r>
      <w:r>
        <w:rPr>
          <w:rFonts w:hint="eastAsia" w:cs="Arial" w:asciiTheme="minorEastAsia" w:hAnsiTheme="minorEastAsia"/>
          <w:kern w:val="0"/>
          <w:sz w:val="24"/>
        </w:rPr>
        <w:t>单位：山丹县聚鑫城投投资发展有限责任公司</w:t>
      </w:r>
    </w:p>
    <w:p w14:paraId="3660300D">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项目属性（新增/延续）：新增</w:t>
      </w:r>
    </w:p>
    <w:p w14:paraId="2A507B3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项目总体目标：</w:t>
      </w:r>
    </w:p>
    <w:p w14:paraId="6836D727">
      <w:pPr>
        <w:widowControl/>
        <w:spacing w:line="480" w:lineRule="auto"/>
        <w:ind w:firstLine="480" w:firstLineChars="200"/>
        <w:rPr>
          <w:rFonts w:ascii="Arial" w:hAnsi="Arial" w:cs="Arial"/>
          <w:kern w:val="0"/>
          <w:sz w:val="24"/>
        </w:rPr>
      </w:pPr>
      <w:r>
        <w:rPr>
          <w:rFonts w:ascii="Arial" w:hAnsi="Arial" w:cs="Arial"/>
          <w:kern w:val="0"/>
          <w:sz w:val="24"/>
        </w:rPr>
        <w:t>目标1：</w:t>
      </w:r>
      <w:r>
        <w:rPr>
          <w:rFonts w:hint="eastAsia" w:ascii="Arial" w:hAnsi="Arial" w:cs="Arial"/>
          <w:kern w:val="0"/>
          <w:sz w:val="24"/>
        </w:rPr>
        <w:t>一期建设：1#库房1,720 平方米，2#库房2,040 平方米，3#库房3,100 平方米，4#库房3,120 平方米，5#库房6,560 平方米，餐厅400 平方米，附属用房504 平方米，公共卫生间50 平方米，停车场43,470 平方米，并配套完成其室外（道路硬化、绿化、给排水、消防、暖气、强弱电、消防水池）等附属设施</w:t>
      </w:r>
      <w:r>
        <w:rPr>
          <w:rFonts w:ascii="Arial" w:hAnsi="Arial" w:cs="Arial"/>
          <w:kern w:val="0"/>
          <w:sz w:val="24"/>
        </w:rPr>
        <w:t>；</w:t>
      </w:r>
    </w:p>
    <w:p w14:paraId="4392CF6A">
      <w:pPr>
        <w:widowControl/>
        <w:spacing w:line="480" w:lineRule="auto"/>
        <w:ind w:firstLine="480" w:firstLineChars="200"/>
        <w:rPr>
          <w:rFonts w:ascii="Arial" w:hAnsi="Arial" w:eastAsia="宋体" w:cs="Arial"/>
          <w:kern w:val="0"/>
          <w:sz w:val="24"/>
        </w:rPr>
      </w:pPr>
      <w:r>
        <w:rPr>
          <w:rFonts w:ascii="Arial" w:hAnsi="Arial" w:eastAsia="宋体" w:cs="Arial"/>
          <w:kern w:val="0"/>
          <w:sz w:val="24"/>
        </w:rPr>
        <w:t>目标2：</w:t>
      </w:r>
      <w:r>
        <w:rPr>
          <w:rFonts w:hint="eastAsia" w:ascii="Arial" w:hAnsi="Arial" w:eastAsia="宋体" w:cs="Arial"/>
          <w:kern w:val="0"/>
          <w:sz w:val="24"/>
        </w:rPr>
        <w:t>二期建设：1#库房1,840 平方米，2#库房1,840 平方米，3#库房1,840 平方米，4#库房1,840 平方米，5#车辆检测1,320 平方米，6#车辆检测1,320 平方米，并配套完成其室外（道路硬化、绿化、给排水、消防、暖气、强弱电）等附属设施</w:t>
      </w:r>
      <w:r>
        <w:rPr>
          <w:rFonts w:ascii="Arial" w:hAnsi="Arial" w:eastAsia="宋体" w:cs="Arial"/>
          <w:kern w:val="0"/>
          <w:sz w:val="24"/>
        </w:rPr>
        <w:t>；</w:t>
      </w:r>
    </w:p>
    <w:p w14:paraId="3F1C4378">
      <w:pPr>
        <w:widowControl/>
        <w:spacing w:line="480" w:lineRule="auto"/>
        <w:ind w:firstLine="480" w:firstLineChars="200"/>
        <w:rPr>
          <w:rFonts w:ascii="Arial" w:hAnsi="Arial" w:eastAsia="宋体" w:cs="Arial"/>
          <w:kern w:val="0"/>
          <w:sz w:val="24"/>
        </w:rPr>
      </w:pPr>
      <w:r>
        <w:rPr>
          <w:rFonts w:ascii="Arial" w:hAnsi="Arial" w:eastAsia="宋体" w:cs="Arial"/>
          <w:kern w:val="0"/>
          <w:sz w:val="24"/>
        </w:rPr>
        <w:t>目标3：</w:t>
      </w:r>
      <w:r>
        <w:rPr>
          <w:rFonts w:hint="eastAsia" w:ascii="Arial" w:hAnsi="Arial" w:eastAsia="宋体" w:cs="Arial"/>
          <w:kern w:val="0"/>
          <w:sz w:val="24"/>
        </w:rPr>
        <w:t>按照可持续发展战略，为山丹县的快速、稳定发展需要，完善基</w:t>
      </w:r>
    </w:p>
    <w:p w14:paraId="4A66501C">
      <w:pPr>
        <w:widowControl/>
        <w:spacing w:line="480" w:lineRule="auto"/>
        <w:rPr>
          <w:rFonts w:ascii="Arial" w:hAnsi="Arial" w:eastAsia="宋体" w:cs="Arial"/>
          <w:kern w:val="0"/>
          <w:sz w:val="24"/>
        </w:rPr>
      </w:pPr>
      <w:r>
        <w:rPr>
          <w:rFonts w:hint="eastAsia" w:ascii="Arial" w:hAnsi="Arial" w:eastAsia="宋体" w:cs="Arial"/>
          <w:kern w:val="0"/>
          <w:sz w:val="24"/>
        </w:rPr>
        <w:t>础设施建设；</w:t>
      </w:r>
    </w:p>
    <w:p w14:paraId="671B9695">
      <w:pPr>
        <w:widowControl/>
        <w:spacing w:line="480" w:lineRule="auto"/>
        <w:ind w:firstLine="480" w:firstLineChars="200"/>
        <w:rPr>
          <w:rFonts w:ascii="Arial" w:hAnsi="Arial" w:cs="Arial"/>
          <w:kern w:val="0"/>
          <w:sz w:val="24"/>
        </w:rPr>
      </w:pPr>
      <w:r>
        <w:rPr>
          <w:rFonts w:ascii="Arial" w:hAnsi="Arial" w:cs="Arial"/>
          <w:kern w:val="0"/>
          <w:sz w:val="24"/>
        </w:rPr>
        <w:t>本项目总投资</w:t>
      </w:r>
      <w:r>
        <w:rPr>
          <w:rFonts w:hint="eastAsia" w:ascii="Arial" w:hAnsi="Arial" w:cs="Arial"/>
          <w:kern w:val="0"/>
          <w:sz w:val="24"/>
        </w:rPr>
        <w:t>9,600</w:t>
      </w:r>
      <w:r>
        <w:rPr>
          <w:rFonts w:ascii="Arial" w:hAnsi="Arial" w:cs="Arial"/>
          <w:kern w:val="0"/>
          <w:sz w:val="24"/>
        </w:rPr>
        <w:t>.00万元，拟申请债券资金总额：</w:t>
      </w:r>
      <w:r>
        <w:rPr>
          <w:rFonts w:hint="eastAsia" w:ascii="Arial" w:hAnsi="Arial" w:cs="Arial"/>
          <w:kern w:val="0"/>
          <w:sz w:val="24"/>
        </w:rPr>
        <w:t>7,680.00</w:t>
      </w:r>
      <w:r>
        <w:rPr>
          <w:rFonts w:ascii="Arial" w:hAnsi="Arial" w:cs="Arial"/>
          <w:kern w:val="0"/>
          <w:sz w:val="24"/>
        </w:rPr>
        <w:t>万元。</w:t>
      </w:r>
    </w:p>
    <w:p w14:paraId="307BCC2B">
      <w:pPr>
        <w:spacing w:line="480" w:lineRule="auto"/>
        <w:ind w:firstLine="482" w:firstLineChars="200"/>
        <w:outlineLvl w:val="0"/>
        <w:rPr>
          <w:rFonts w:cs="Times New Roman" w:asciiTheme="minorEastAsia" w:hAnsiTheme="minorEastAsia"/>
          <w:b/>
          <w:bCs/>
          <w:kern w:val="0"/>
          <w:sz w:val="24"/>
        </w:rPr>
      </w:pPr>
      <w:r>
        <w:rPr>
          <w:rFonts w:cs="Times New Roman" w:asciiTheme="minorEastAsia" w:hAnsiTheme="minorEastAsia"/>
          <w:b/>
          <w:bCs/>
          <w:kern w:val="0"/>
          <w:sz w:val="24"/>
        </w:rPr>
        <w:t>项目概况</w:t>
      </w:r>
      <w:r>
        <w:rPr>
          <w:rFonts w:hint="eastAsia" w:cs="Times New Roman" w:asciiTheme="minorEastAsia" w:hAnsiTheme="minorEastAsia"/>
          <w:b/>
          <w:bCs/>
          <w:kern w:val="0"/>
          <w:sz w:val="24"/>
        </w:rPr>
        <w:t>：</w:t>
      </w:r>
    </w:p>
    <w:p w14:paraId="26F8B8FD">
      <w:pPr>
        <w:spacing w:line="480" w:lineRule="auto"/>
        <w:ind w:firstLine="482" w:firstLineChars="200"/>
        <w:outlineLvl w:val="0"/>
        <w:rPr>
          <w:rFonts w:cs="Times New Roman" w:asciiTheme="minorEastAsia" w:hAnsiTheme="minorEastAsia"/>
          <w:b/>
          <w:bCs/>
          <w:kern w:val="0"/>
          <w:sz w:val="24"/>
        </w:rPr>
      </w:pPr>
      <w:r>
        <w:rPr>
          <w:rFonts w:hint="eastAsia" w:cs="Times New Roman" w:asciiTheme="minorEastAsia" w:hAnsiTheme="minorEastAsia"/>
          <w:b/>
          <w:bCs/>
          <w:kern w:val="0"/>
          <w:sz w:val="24"/>
        </w:rPr>
        <w:t>（一）项目背景</w:t>
      </w:r>
    </w:p>
    <w:p w14:paraId="71836518">
      <w:pPr>
        <w:widowControl/>
        <w:spacing w:line="480" w:lineRule="auto"/>
        <w:ind w:firstLine="480" w:firstLineChars="200"/>
        <w:rPr>
          <w:rFonts w:ascii="Arial" w:hAnsi="Arial" w:cs="Arial"/>
          <w:kern w:val="0"/>
          <w:sz w:val="24"/>
        </w:rPr>
      </w:pPr>
      <w:r>
        <w:rPr>
          <w:rFonts w:hint="eastAsia" w:ascii="Arial" w:hAnsi="Arial" w:cs="Arial"/>
          <w:kern w:val="0"/>
          <w:sz w:val="24"/>
        </w:rPr>
        <w:t>仓储物流是我国物流行业中承上启下的重要环节，是社会商品流通的必不可少的环节。2022 年7 月，中国仓储指数为53.1%，物流业景气指数为48.6%，均保持在较高水平。随着政策的逐步落实，商品流通趋于顺畅，仓储物流业仍将保持向好势头。</w:t>
      </w:r>
    </w:p>
    <w:p w14:paraId="7F4A7B20">
      <w:pPr>
        <w:widowControl/>
        <w:spacing w:line="480" w:lineRule="auto"/>
        <w:ind w:firstLine="480" w:firstLineChars="200"/>
        <w:rPr>
          <w:rFonts w:ascii="Arial" w:hAnsi="Arial" w:cs="Arial"/>
          <w:kern w:val="0"/>
          <w:sz w:val="24"/>
        </w:rPr>
      </w:pPr>
      <w:r>
        <w:rPr>
          <w:rFonts w:hint="eastAsia" w:ascii="Arial" w:hAnsi="Arial" w:cs="Arial"/>
          <w:kern w:val="0"/>
          <w:sz w:val="24"/>
        </w:rPr>
        <w:t>仓储物流行业是实体经济的重要组成部分，近年来，国家不断推动仓储物流行业的发展，我国物流行业已经进入高质量发展阶段。高质量发展是中国由物流大国向物流强国转变的必由之路，我国仓储物流行业也将在政策引导下坚持稳中求进的总基调，随着我国人口老龄化进程不断加快，劳动人口占比呈逐年下降的趋势，同时制造业就业人员的平均工资不断升高。劳动力成本的上升使企业采用先进物流装备和制造装备来实现降本增效的动力增加，将推动仓储物流行业智能化的发展进程。</w:t>
      </w:r>
    </w:p>
    <w:p w14:paraId="16A3874C">
      <w:pPr>
        <w:widowControl/>
        <w:spacing w:line="480" w:lineRule="auto"/>
        <w:ind w:firstLine="480" w:firstLineChars="200"/>
        <w:rPr>
          <w:rFonts w:ascii="Arial" w:hAnsi="Arial" w:cs="Arial"/>
          <w:kern w:val="0"/>
          <w:sz w:val="24"/>
        </w:rPr>
      </w:pPr>
      <w:r>
        <w:rPr>
          <w:rFonts w:hint="eastAsia" w:ascii="Arial" w:hAnsi="Arial" w:cs="Arial"/>
          <w:kern w:val="0"/>
          <w:sz w:val="24"/>
        </w:rPr>
        <w:t>近年来，互联网、物联网、人工智能、大数据、云计算等新技术逐步应用于仓储、运输、配送等各个仓储物流环节，使得仓储物流场景数字化、供应链内的元素相互连接、供应链决策更加智能，为推动仓储物流产业的全面升级和迭代提升奠定了技术基础，提高仓储物流行业效率。</w:t>
      </w:r>
    </w:p>
    <w:p w14:paraId="0BBB25A1">
      <w:pPr>
        <w:spacing w:line="480" w:lineRule="auto"/>
        <w:ind w:firstLine="482" w:firstLineChars="200"/>
        <w:outlineLvl w:val="0"/>
        <w:rPr>
          <w:rFonts w:cs="Times New Roman" w:asciiTheme="minorEastAsia" w:hAnsiTheme="minorEastAsia"/>
          <w:b/>
          <w:bCs/>
          <w:kern w:val="0"/>
          <w:sz w:val="24"/>
        </w:rPr>
      </w:pPr>
      <w:r>
        <w:rPr>
          <w:rFonts w:hint="eastAsia" w:cs="Times New Roman" w:asciiTheme="minorEastAsia" w:hAnsiTheme="minorEastAsia"/>
          <w:b/>
          <w:bCs/>
          <w:kern w:val="0"/>
          <w:sz w:val="24"/>
        </w:rPr>
        <w:t>（二）主要内容及实施情况</w:t>
      </w:r>
    </w:p>
    <w:p w14:paraId="527C349D">
      <w:pPr>
        <w:widowControl/>
        <w:spacing w:line="480" w:lineRule="auto"/>
        <w:ind w:firstLine="480" w:firstLineChars="200"/>
        <w:rPr>
          <w:rFonts w:ascii="Arial" w:hAnsi="Arial" w:eastAsia="宋体" w:cs="Arial"/>
          <w:kern w:val="0"/>
          <w:sz w:val="24"/>
        </w:rPr>
      </w:pPr>
      <w:r>
        <w:rPr>
          <w:rFonts w:hint="eastAsia" w:ascii="Arial" w:hAnsi="Arial" w:eastAsia="宋体" w:cs="Arial"/>
          <w:kern w:val="0"/>
          <w:sz w:val="24"/>
        </w:rPr>
        <w:t>用地面积151,018 平方米（约226. 53 亩），其中一期用地95,819 平方米（约143.73 亩），二期用地55,199 平方米（约82.8亩），规划总建筑面积27,629 平方米。其中一期建设： 1#库房1,720 平方米， 2#库房2,040 平方米， 3#库房3,100 平方米，库房3,120 平方米， 5#库房6,560 平方米，餐厅400 平方米，附属用房504 平方米，公共卫生间50 平方米，停车场43,470 平方米，并配套完成其室外（道路硬化、绿化、给排水、消防、暖气、强弱电、消防水池）等附属设施；二期建设： 1#库房1,840 平方米，2#库房1,840 平方米， 3#库房1,840 平方米， 4#库房1,840 平方米，5# 车辆检测1,320 平方米， 6# 车辆检测1,320 平方米，并配套完成其室外（道路硬化、绿化、给排水、消防、暖气、强弱电）等附属设施。</w:t>
      </w:r>
    </w:p>
    <w:p w14:paraId="17A9EFB3">
      <w:pPr>
        <w:widowControl/>
        <w:spacing w:line="480" w:lineRule="auto"/>
        <w:ind w:firstLine="482" w:firstLineChars="200"/>
        <w:rPr>
          <w:rFonts w:cs="Arial" w:asciiTheme="minorEastAsia" w:hAnsiTheme="minorEastAsia"/>
          <w:b/>
          <w:bCs/>
          <w:sz w:val="24"/>
        </w:rPr>
      </w:pPr>
      <w:r>
        <w:rPr>
          <w:rFonts w:hint="eastAsia" w:cs="Arial" w:asciiTheme="minorEastAsia" w:hAnsiTheme="minorEastAsia"/>
          <w:b/>
          <w:bCs/>
          <w:sz w:val="24"/>
        </w:rPr>
        <w:t>二、评估依据及方式和方法</w:t>
      </w:r>
    </w:p>
    <w:p w14:paraId="4DBA9678">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（一）评估依据</w:t>
      </w:r>
    </w:p>
    <w:p w14:paraId="49D5B8D5">
      <w:pPr>
        <w:widowControl/>
        <w:spacing w:line="480" w:lineRule="auto"/>
        <w:ind w:firstLine="480" w:firstLineChars="200"/>
        <w:rPr>
          <w:rFonts w:cs="Arial" w:asciiTheme="minorEastAsia" w:hAnsiTheme="minorEastAsia"/>
          <w:kern w:val="0"/>
          <w:sz w:val="24"/>
        </w:rPr>
      </w:pPr>
      <w:r>
        <w:rPr>
          <w:rFonts w:cs="Arial" w:asciiTheme="minorEastAsia" w:hAnsiTheme="minorEastAsia"/>
          <w:kern w:val="0"/>
          <w:sz w:val="24"/>
        </w:rPr>
        <w:t>本项目评估论证的直接依据有：</w:t>
      </w:r>
    </w:p>
    <w:p w14:paraId="787E4015">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1.《中华人民共和国预算法》</w:t>
      </w:r>
    </w:p>
    <w:p w14:paraId="301CEF2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2.《中华人民共和国预算法实施条例》</w:t>
      </w:r>
    </w:p>
    <w:p w14:paraId="284623CF">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3.《政府投资条例》</w:t>
      </w:r>
    </w:p>
    <w:p w14:paraId="40DF001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4.国家发展和改革委员会发布的《产业结构调整指导目录（2019年本)》</w:t>
      </w:r>
    </w:p>
    <w:p w14:paraId="248E49E3">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5.国家发展和改革委员会、财政部、住房和城乡建设部交通运输部、水利部、人民银行等六部委颁发的《基础设施和公用事业特许</w:t>
      </w:r>
      <w:r>
        <w:rPr>
          <w:rFonts w:hint="eastAsia" w:cs="Arial" w:asciiTheme="minorEastAsia" w:hAnsiTheme="minorEastAsia"/>
          <w:kern w:val="0"/>
          <w:sz w:val="24"/>
          <w:lang w:eastAsia="zh-CN"/>
        </w:rPr>
        <w:t>经营管理</w:t>
      </w:r>
      <w:r>
        <w:rPr>
          <w:rFonts w:hint="eastAsia" w:cs="Arial" w:asciiTheme="minorEastAsia" w:hAnsiTheme="minorEastAsia"/>
          <w:kern w:val="0"/>
          <w:sz w:val="24"/>
        </w:rPr>
        <w:t>办法》</w:t>
      </w:r>
    </w:p>
    <w:p w14:paraId="0396A96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6.《国务院关于加强地方政府性债务管理的意见》（国发【2014】43号）</w:t>
      </w:r>
    </w:p>
    <w:p w14:paraId="51B51412">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7.《中共中央国务院关于全面实施预算绩效管理的意见》（中发【2018】34号）</w:t>
      </w:r>
    </w:p>
    <w:p w14:paraId="27D11DF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8.《中共中央国务院关于防范化解地方政府隐性债务风险的意见》（中发【2018】27号）</w:t>
      </w:r>
    </w:p>
    <w:p w14:paraId="25E211D2">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9. 《中共中央办公厅 国务院办公厅关于印发〈地方政府隐形债务问责办法〉的通知》（中办发【2018】46号）</w:t>
      </w:r>
    </w:p>
    <w:p w14:paraId="269B83F3">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10. 《财政部关于印发〈项目支岀绩效评价管理办法〉的通知》（财预【2020】10号）</w:t>
      </w:r>
    </w:p>
    <w:p w14:paraId="13887277">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11. 《中共中央国务院关于全面实施预算绩效管理的意见》（中发【2018】34号）</w:t>
      </w:r>
    </w:p>
    <w:p w14:paraId="0A9AA351">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12. 《关于印发&lt;地方政府专项债券项目资金绩效管理办法&gt;的通知》（财预【2021】61号）</w:t>
      </w:r>
    </w:p>
    <w:p w14:paraId="7E582A05">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13.《甘肃省财政厅关于印发&lt;甘肃省省级预算绩效管理办法&gt;等6个办法和规程的通知》（甘财绩【2020】5号）</w:t>
      </w:r>
    </w:p>
    <w:p w14:paraId="28F1FE8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14.《甘肃省财政厅关于印发&lt;甘肃省政府专项债券项目资金绩效管理办法&gt;的通知》（甘财预【2021】54号）</w:t>
      </w:r>
    </w:p>
    <w:p w14:paraId="41BE697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15. 《山丹县仓储物流中心建设项目建设项目可行性研究报告》</w:t>
      </w:r>
    </w:p>
    <w:p w14:paraId="1C75A55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16.《山丹县发展和改革局关于山丹县仓储物流中心建设项目建设项目可行性研究报告的批复》（山发改【2</w:t>
      </w:r>
      <w:r>
        <w:rPr>
          <w:rFonts w:cs="Arial" w:asciiTheme="minorEastAsia" w:hAnsiTheme="minorEastAsia"/>
          <w:kern w:val="0"/>
          <w:sz w:val="24"/>
        </w:rPr>
        <w:t>02</w:t>
      </w:r>
      <w:r>
        <w:rPr>
          <w:rFonts w:hint="eastAsia" w:cs="Arial" w:asciiTheme="minorEastAsia" w:hAnsiTheme="minorEastAsia"/>
          <w:kern w:val="0"/>
          <w:sz w:val="24"/>
        </w:rPr>
        <w:t>2】298号）</w:t>
      </w:r>
    </w:p>
    <w:p w14:paraId="12C8ED92">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（二）自评</w:t>
      </w:r>
      <w:r>
        <w:rPr>
          <w:rFonts w:cs="Arial" w:asciiTheme="minorEastAsia" w:hAnsiTheme="minorEastAsia"/>
          <w:b/>
          <w:bCs/>
          <w:sz w:val="24"/>
        </w:rPr>
        <w:t>程序</w:t>
      </w:r>
    </w:p>
    <w:p w14:paraId="152FF1CD">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1.成立自评小组</w:t>
      </w:r>
    </w:p>
    <w:p w14:paraId="72800B6F">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我们成立了由财政金融专家、注册会计师、法律专家、投资咨询工程师、资产评估师等专家团队组成的自评小组，采取分项和综合相结合的方式对项目申请专项债券资金支持的必要性和可行性进行评估论证。</w:t>
      </w:r>
    </w:p>
    <w:p w14:paraId="350A7E8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2.审查分析资料</w:t>
      </w:r>
    </w:p>
    <w:p w14:paraId="233FA91D">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审查分析资料是进行项目事前绩效评估的核心环节，自评小组在确保项目相关资料及其数据信息的真实性、完整性、准确性的基础上，从政策和逻辑上评估项目申请专项债券资金支持的必要性和可行性。</w:t>
      </w:r>
    </w:p>
    <w:p w14:paraId="76EBD45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3.设置事前绩效评估指标</w:t>
      </w:r>
    </w:p>
    <w:p w14:paraId="21A1974A">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根据评价依据及项目具体情况设置事前绩效评估指标。</w:t>
      </w:r>
    </w:p>
    <w:p w14:paraId="71025D9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4.事前绩效评估指标打分</w:t>
      </w:r>
    </w:p>
    <w:p w14:paraId="20B7E95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在了解项目具体情况、审查项目资料的基础上，自评小组对设置的事前绩效评估指标进行打分评价。</w:t>
      </w:r>
    </w:p>
    <w:p w14:paraId="59742F27">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5.编写自评报告</w:t>
      </w:r>
    </w:p>
    <w:p w14:paraId="5817F2C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在了解项目具体情况、审查项目资料的基础上，自评小组围绕各自负责的专业领域进行专项评估，由专人负责撰写整体自评报告，并由项目主管负责人进行审核。</w:t>
      </w:r>
    </w:p>
    <w:p w14:paraId="2D8F7F10">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（三）</w:t>
      </w:r>
      <w:r>
        <w:rPr>
          <w:rFonts w:cs="Arial" w:asciiTheme="minorEastAsia" w:hAnsiTheme="minorEastAsia"/>
          <w:b/>
          <w:bCs/>
          <w:sz w:val="24"/>
        </w:rPr>
        <w:t>论证思路及方法</w:t>
      </w:r>
    </w:p>
    <w:p w14:paraId="694A9FDA">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1.论证思路</w:t>
      </w:r>
    </w:p>
    <w:p w14:paraId="535DDB5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本次自评报告主要关注项目实施的必要性、公益性、收益性；项目建设投资合规性与项目成熟度；项目资金来源和到位可行性；项目收入、成本、收益预测合理性；债券资金需求合理性；项目偿债计划可行性和偿债风险点；绩效目标合理性等方面。</w:t>
      </w:r>
    </w:p>
    <w:p w14:paraId="27E79DF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2.论证方法</w:t>
      </w:r>
    </w:p>
    <w:p w14:paraId="200C2628">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事前绩效评估方法包括成本效益分析法、比较法、因素分析法、最低成本法、公众评判法等。</w:t>
      </w:r>
    </w:p>
    <w:p w14:paraId="388B5394">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成本效益分析法，是指将政策和项目存续期内的支出与效益进行对比分析，以评估政策和项目的资金及管理效率。</w:t>
      </w:r>
    </w:p>
    <w:p w14:paraId="531F8C1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比较法，是指通过对绩效目标与预期实施效果、历史与当期情况、不同部门与地区同类政策和项目安排的比较，综合分析政策和项目的绩效情况。</w:t>
      </w:r>
    </w:p>
    <w:p w14:paraId="7B646B4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因素分析法，是指通过综合分析影响政策和项目绩效目标实现、实施效果的内外因素，对政策和项目进行评估。</w:t>
      </w:r>
    </w:p>
    <w:p w14:paraId="73E98378">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最低成本法，是指对预期效益不易计量的政策和项目，通过综合分析测算其最低实施成本，对政策和项目进行评估。</w:t>
      </w:r>
    </w:p>
    <w:p w14:paraId="0FF7D01F">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公众评判法，是指通过专家评估、公众问卷及抽样调查等方式，对政策和项目进行评估。</w:t>
      </w:r>
    </w:p>
    <w:p w14:paraId="26693DD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根据评估思路及项目具体情况，自评小组主要采用成本效益分析法、比较法、因素分析法进行评估。</w:t>
      </w:r>
    </w:p>
    <w:p w14:paraId="021D9082">
      <w:pPr>
        <w:spacing w:before="240" w:after="240" w:line="480" w:lineRule="auto"/>
        <w:ind w:firstLine="482" w:firstLineChars="200"/>
        <w:outlineLvl w:val="0"/>
        <w:rPr>
          <w:rFonts w:cs="Arial" w:asciiTheme="minorEastAsia" w:hAnsiTheme="minorEastAsia"/>
          <w:b/>
          <w:bCs/>
          <w:sz w:val="24"/>
        </w:rPr>
      </w:pPr>
      <w:r>
        <w:rPr>
          <w:rFonts w:cs="Arial" w:asciiTheme="minorEastAsia" w:hAnsiTheme="minorEastAsia"/>
          <w:b/>
          <w:bCs/>
          <w:sz w:val="24"/>
        </w:rPr>
        <w:t>三、</w:t>
      </w:r>
      <w:r>
        <w:rPr>
          <w:rFonts w:hint="eastAsia" w:cs="Arial" w:asciiTheme="minorEastAsia" w:hAnsiTheme="minorEastAsia"/>
          <w:b/>
          <w:bCs/>
          <w:sz w:val="24"/>
        </w:rPr>
        <w:t>自评</w:t>
      </w:r>
      <w:r>
        <w:rPr>
          <w:rFonts w:cs="Arial" w:asciiTheme="minorEastAsia" w:hAnsiTheme="minorEastAsia"/>
          <w:b/>
          <w:bCs/>
          <w:sz w:val="24"/>
        </w:rPr>
        <w:t>内容与结论</w:t>
      </w:r>
    </w:p>
    <w:p w14:paraId="49C684FB">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（一）项目实施的必要性、公益性、收益性</w:t>
      </w:r>
    </w:p>
    <w:p w14:paraId="1BB3AC41">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w:t>
      </w:r>
      <w:r>
        <w:rPr>
          <w:rFonts w:cs="Arial" w:asciiTheme="minorEastAsia" w:hAnsiTheme="minorEastAsia"/>
          <w:kern w:val="0"/>
          <w:sz w:val="24"/>
        </w:rPr>
        <w:t>.</w:t>
      </w:r>
      <w:r>
        <w:rPr>
          <w:rFonts w:hint="eastAsia"/>
        </w:rPr>
        <w:t xml:space="preserve"> </w:t>
      </w:r>
      <w:r>
        <w:rPr>
          <w:rFonts w:hint="eastAsia" w:cs="Arial" w:asciiTheme="minorEastAsia" w:hAnsiTheme="minorEastAsia"/>
          <w:kern w:val="0"/>
          <w:sz w:val="24"/>
        </w:rPr>
        <w:t>项目建设符合我国及甘肃省物流事业发展的需要</w:t>
      </w:r>
    </w:p>
    <w:p w14:paraId="61B5C5A5">
      <w:pPr>
        <w:widowControl/>
        <w:spacing w:line="480" w:lineRule="auto"/>
        <w:ind w:firstLine="480" w:firstLineChars="200"/>
        <w:rPr>
          <w:rFonts w:ascii="Arial" w:hAnsi="Arial" w:cs="Arial"/>
          <w:kern w:val="0"/>
          <w:sz w:val="24"/>
        </w:rPr>
      </w:pPr>
      <w:r>
        <w:rPr>
          <w:rFonts w:hint="eastAsia" w:ascii="Arial" w:hAnsi="Arial" w:cs="Arial"/>
          <w:kern w:val="0"/>
          <w:sz w:val="24"/>
        </w:rPr>
        <w:t>物资流通是由多种要素组成的一个大系统，它为适应社会化大生产既深度分工又广泛协作的要求应运而生，通过加速实现商品流动社会化与现代化，达到以较低的流通消耗获取最大限度经济效益的目标。现代物流产业在国际上已成为商品市场体系中最重要的流通组织形式，也是现代市场营销方式的有效载体，其中，第三方物流业更是得到了迅猛而蓬勃发展。因此，随着国内企业对物流成本控制的日益重视，客户对服务需求水平的逐步提高和日趋多元化，我国物流业的发展具有广阔的空间。为促进我国物流事业发展的需要，国家已将物流配送列为重点发展的产业。因此，建立现代机械仓储物流中心，既满足城市功能配套需要，符合省政府政策方向，也解决目前项目辐射区“运输难”和“交易难”的问题，具有重要的现实意义。</w:t>
      </w:r>
    </w:p>
    <w:p w14:paraId="4DAAE31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w:t>
      </w:r>
      <w:r>
        <w:rPr>
          <w:rFonts w:hint="eastAsia"/>
        </w:rPr>
        <w:t xml:space="preserve"> </w:t>
      </w:r>
      <w:r>
        <w:rPr>
          <w:rFonts w:hint="eastAsia" w:cs="Arial" w:asciiTheme="minorEastAsia" w:hAnsiTheme="minorEastAsia"/>
          <w:kern w:val="0"/>
          <w:sz w:val="24"/>
        </w:rPr>
        <w:t>项目建设符合引导和转化某市潜在物流需求的需要</w:t>
      </w:r>
    </w:p>
    <w:p w14:paraId="5B5DC005">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物流活动作为一种经济活动，需要在供、需两个方面不断地相互适应、相互满足。虽然山丹县及其区域内当前存在着巨大的物流需求，但相当的物流需求是一种低水平的物流需求，表现为相当部分传统商业企业与生产企业仍保持着以自我为中心、“大而全”、“小而全”的传统经营组织模式，尚未认识到通过联合规划与作业，形成高度整合的供应链体系改善目前的生产供应与产品销售；企业在生产、销售的经营活动过程中对建立在供应链管理基础上的跨企业、跨行业的联合重视不够，在推行各自的技术标准。管理标准、工作标准时尚未意识到建立共同的物流标准的重要性，真正意义上的物流需求难以形成。</w:t>
      </w:r>
    </w:p>
    <w:p w14:paraId="7608C6C3">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随着山丹县整体经济的发展，这种初步意义上的物流需求将必然向现代高水平的物流需求转化，在这一转化的进程中，提高山丹县在物流服务供给能力方面的水平是至关重要的。本项目建成后将有力地加强现有公路网与周围交通网的衔接以及交通运输设施与库、场设施的衔接，使现有物流资源得以合理整合，基础设施及其技术装备的运作水平得以提高。</w:t>
      </w:r>
    </w:p>
    <w:p w14:paraId="14A6906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3.</w:t>
      </w:r>
      <w:r>
        <w:rPr>
          <w:rFonts w:hint="eastAsia"/>
        </w:rPr>
        <w:t xml:space="preserve"> </w:t>
      </w:r>
      <w:r>
        <w:rPr>
          <w:rFonts w:hint="eastAsia" w:cs="Arial" w:asciiTheme="minorEastAsia" w:hAnsiTheme="minorEastAsia"/>
          <w:kern w:val="0"/>
          <w:sz w:val="24"/>
        </w:rPr>
        <w:t>项目建设符合支持有效的物流市场机制建立的需要</w:t>
      </w:r>
    </w:p>
    <w:p w14:paraId="783F9E0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物流的市场化与经济发展的市场化程度直接相关，同时也与市场开放、管制相关联。有效的物流市场机制建立要求市场更加开放，管制更加合理和科学，物流活动具有网络化的特点，物流中心只是其网络上的一个结点，需要网络上各个结点之间相互开放彼此的物流服务市场，便于企业在较大的市场范围内进行兼并、重组以资本运作为手段的企业经营网络建设，并为开展网络化物流经营活动提供与商流相适应的高效物流服务。同时，物流服务活动存在着一系列委托与被委托。代理与被代理的关系。服务的无形化特点、各种复杂的费率协商、服务的标准和衔接、物权的转移、控制和结算的主体等，往往涉及多个方面，需要强有力的制度保障和执行机制，包括市场准入与汰出机制、市场保障机制及商业信用机制等等。</w:t>
      </w:r>
    </w:p>
    <w:p w14:paraId="1814B0F1">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4.</w:t>
      </w:r>
      <w:r>
        <w:rPr>
          <w:rFonts w:hint="eastAsia"/>
        </w:rPr>
        <w:t xml:space="preserve"> </w:t>
      </w:r>
      <w:r>
        <w:rPr>
          <w:rFonts w:hint="eastAsia" w:cs="Arial" w:asciiTheme="minorEastAsia" w:hAnsiTheme="minorEastAsia"/>
          <w:kern w:val="0"/>
          <w:sz w:val="24"/>
        </w:rPr>
        <w:t>项目建设符合项目建设是促进区域经济发展的需要</w:t>
      </w:r>
    </w:p>
    <w:p w14:paraId="7CEA17DF">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物流业发展程度已成为衡量一个国家、地区综合国力和现代化程度的重要标志，发展物流业是推进城市工业化、城市化、市场化和国际化进程，进而提升综合实力和国际竞争力的重要举措。物流业是不断启动市场，促进需求、消费，推动国家经济增长的重要动力，加快发展物流业，有助于降低物流成本，提高物流效率；有助于推动比较优势转化为竞争优势；有助于改善发展环境，满足社会多样化的服务需求；有助于实现集约式发展，提高经济竞争能力和人民生活质量。项目的建设，对提高城市经济运行效率及城市在经济区域的地位和作用具有积极的意义，可促进山丹县现代物流的发展和物流产业的培育，从而产生新的经济增长点，为经济的可持续发展提供新的产业成长支持，为当地提高经济发展水平创造良好的产业布局与发展环境。</w:t>
      </w:r>
    </w:p>
    <w:p w14:paraId="33E9269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综上，我们认为本项目是促进当地经济发展的城乡物流设施项目，具有公益性，属于政府专项债的发债领域，同时本项目可产生部分收益，满足偿债要求。本项共计</w:t>
      </w:r>
      <w:r>
        <w:rPr>
          <w:rFonts w:cs="Arial" w:asciiTheme="minorEastAsia" w:hAnsiTheme="minorEastAsia"/>
          <w:kern w:val="0"/>
          <w:sz w:val="24"/>
        </w:rPr>
        <w:t>18</w:t>
      </w:r>
      <w:r>
        <w:rPr>
          <w:rFonts w:hint="eastAsia" w:cs="Arial" w:asciiTheme="minorEastAsia" w:hAnsiTheme="minorEastAsia"/>
          <w:kern w:val="0"/>
          <w:sz w:val="24"/>
        </w:rPr>
        <w:t>分，得分18分。</w:t>
      </w:r>
    </w:p>
    <w:p w14:paraId="1610E114">
      <w:pPr>
        <w:spacing w:before="240" w:after="240" w:line="480" w:lineRule="auto"/>
        <w:ind w:firstLine="600" w:firstLineChars="249"/>
        <w:outlineLvl w:val="0"/>
        <w:rPr>
          <w:rFonts w:cs="Arial" w:asciiTheme="minorEastAsia" w:hAnsiTheme="minorEastAsia"/>
          <w:b/>
          <w:bCs/>
          <w:sz w:val="24"/>
        </w:rPr>
      </w:pPr>
      <w:r>
        <w:rPr>
          <w:rFonts w:hint="eastAsia" w:cs="Arial" w:asciiTheme="minorEastAsia" w:hAnsiTheme="minorEastAsia"/>
          <w:b/>
          <w:bCs/>
          <w:sz w:val="24"/>
        </w:rPr>
        <w:t>（二）项目建设投资的合规性与项目成熟度</w:t>
      </w:r>
    </w:p>
    <w:p w14:paraId="2C49284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1.项目建设投资依法合规，政策风险可控</w:t>
      </w:r>
    </w:p>
    <w:p w14:paraId="489AC9A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（1）项目符合地方政府专项债券的支持领域和方向</w:t>
      </w:r>
    </w:p>
    <w:p w14:paraId="7EFA94E6">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中共中央办公厅、国务院办公厅关于做好地方政府专项债券发行及项目配套融资工作的通知》（厅字【2019】33号）明确“地方政府和金融机构依法合规使用专项债券和其他市场化融资方式，重点支持京津冀协同发展、长江经济带发展、“一带一路”建设、粤港澳大湾区建设、长三角区域一体化发展、推进海南全面深化改革开放等重大战略和乡村振兴战略，以及推进棚户区改造等保障性安居工程、易地扶贫搬迁后续扶持、自然灾害防治体系建设、铁路、收费公路、机场、水利工程、生态环保、医疗健康、水电气热等公用事业、城镇基础设施、农业农村基础设施等领域以及其他纳入“十三五”规划符合条件的重大项目建设”。本项目属于城乡物流设施项目，符合地方政府专项债券支持的领域和方向。</w:t>
      </w:r>
    </w:p>
    <w:p w14:paraId="31DBAC52">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（2）项目立项审批已完成</w:t>
      </w:r>
    </w:p>
    <w:p w14:paraId="4E6B5B4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单位委托中环城乡规划设计有限公司编制了《山丹县仓储物流中心建设项目建设项目可行性研究报告》，对山丹县仓储物流中心建设项目建设项目实施的背景、必要性、建设条件的可行性、建筑方案的专业性、投资估算与资金筹措运用、项目经济效益、社会效益、投资风险性等方面进行了分析论证，表明项目的建设对完善城市功能配套需要、促进经济社会发展具有重要的意义。</w:t>
      </w:r>
    </w:p>
    <w:p w14:paraId="1989336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w:t>
      </w:r>
      <w:r>
        <w:rPr>
          <w:rFonts w:cs="Arial" w:asciiTheme="minorEastAsia" w:hAnsiTheme="minorEastAsia"/>
          <w:kern w:val="0"/>
          <w:sz w:val="24"/>
        </w:rPr>
        <w:t>02</w:t>
      </w:r>
      <w:r>
        <w:rPr>
          <w:rFonts w:hint="eastAsia" w:cs="Arial" w:asciiTheme="minorEastAsia" w:hAnsiTheme="minorEastAsia"/>
          <w:kern w:val="0"/>
          <w:sz w:val="24"/>
        </w:rPr>
        <w:t>2年10月26日，山丹县发展和改革局下发文件《山丹县发展和改革局关于山丹县仓储物流中心建设项目建设项目可行性研究报告的批复》（山发改【2</w:t>
      </w:r>
      <w:r>
        <w:rPr>
          <w:rFonts w:cs="Arial" w:asciiTheme="minorEastAsia" w:hAnsiTheme="minorEastAsia"/>
          <w:kern w:val="0"/>
          <w:sz w:val="24"/>
        </w:rPr>
        <w:t>02</w:t>
      </w:r>
      <w:r>
        <w:rPr>
          <w:rFonts w:hint="eastAsia" w:cs="Arial" w:asciiTheme="minorEastAsia" w:hAnsiTheme="minorEastAsia"/>
          <w:kern w:val="0"/>
          <w:sz w:val="24"/>
        </w:rPr>
        <w:t>2】298号），对本项目可行性研究报告进行了批复，指出本项目可研报告符合报告编制办法的规定，基本达到了可研深度的要求，指示项目单位进一步优化完善设计方案，抓紧开展初步设计等前期工作，积极落实建设资金，合理安排工程进度，确保项目顺利实施。</w:t>
      </w:r>
    </w:p>
    <w:p w14:paraId="73378255">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综上，本项目编制了可行性研究报告，取得了山丹县发展和改革局的批复文件,履行了项目立项审批程序。</w:t>
      </w:r>
    </w:p>
    <w:p w14:paraId="45F18CC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2.项目建设成熟度高</w:t>
      </w:r>
    </w:p>
    <w:p w14:paraId="18E0AB3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（1）项目建设单位经验丰富</w:t>
      </w:r>
    </w:p>
    <w:p w14:paraId="61EA712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山丹县及周边范围内拥有施工资质的施工单位数量较多、技术力量成熟、社会信誉良好，且拥有较为丰富的同类项目施工经验，本项目的施工质量有确切的保障。</w:t>
      </w:r>
    </w:p>
    <w:p w14:paraId="26E539FD">
      <w:pPr>
        <w:widowControl/>
        <w:spacing w:line="480" w:lineRule="auto"/>
        <w:ind w:firstLine="480" w:firstLineChars="200"/>
        <w:rPr>
          <w:rFonts w:cs="Arial" w:asciiTheme="minorEastAsia" w:hAnsiTheme="minorEastAsia"/>
          <w:kern w:val="0"/>
          <w:sz w:val="24"/>
        </w:rPr>
      </w:pPr>
      <w:r>
        <w:rPr>
          <w:rFonts w:hint="eastAsia"/>
          <w:sz w:val="24"/>
        </w:rPr>
        <w:t>（</w:t>
      </w:r>
      <w:r>
        <w:rPr>
          <w:rFonts w:hint="eastAsia" w:cs="Arial" w:asciiTheme="minorEastAsia" w:hAnsiTheme="minorEastAsia"/>
          <w:kern w:val="0"/>
          <w:sz w:val="24"/>
        </w:rPr>
        <w:t>2</w:t>
      </w:r>
      <w:r>
        <w:rPr>
          <w:rFonts w:hint="eastAsia"/>
          <w:sz w:val="24"/>
        </w:rPr>
        <w:t>）项目</w:t>
      </w:r>
      <w:r>
        <w:rPr>
          <w:rFonts w:hint="eastAsia" w:cs="Arial" w:asciiTheme="minorEastAsia" w:hAnsiTheme="minorEastAsia"/>
          <w:kern w:val="0"/>
          <w:sz w:val="24"/>
        </w:rPr>
        <w:t>建设、运营模式成熟</w:t>
      </w:r>
    </w:p>
    <w:p w14:paraId="1E7044AD">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建设地点位于山丹县宏定元化工厂东侧，山丹县聚鑫城投投资发展有限责任公司近年来已经实施了多个物流中心建设项目，对于物流中心建设项目不管是从项目前期勘探、测绘，还是项目后期建设方面都有丰富的经验可以借鉴，项目的建设、运营模式较成熟。</w:t>
      </w:r>
    </w:p>
    <w:p w14:paraId="1F728329">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（3）项目前期工作成熟度较低</w:t>
      </w:r>
    </w:p>
    <w:p w14:paraId="5EF144C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本项目前期对项目工程涉及的范围进行了实地考察，将包括现状评价及建设条件，规范及技术标准，工程方案设计，环境影响评价；</w:t>
      </w:r>
      <w:r>
        <w:rPr>
          <w:rFonts w:cs="Arial" w:asciiTheme="minorEastAsia" w:hAnsiTheme="minorEastAsia"/>
          <w:kern w:val="0"/>
          <w:sz w:val="24"/>
        </w:rPr>
        <w:t>项目</w:t>
      </w:r>
      <w:r>
        <w:rPr>
          <w:rFonts w:hint="eastAsia" w:cs="Arial" w:asciiTheme="minorEastAsia" w:hAnsiTheme="minorEastAsia"/>
          <w:kern w:val="0"/>
          <w:sz w:val="24"/>
        </w:rPr>
        <w:t>可行性研究报告的编制工作已经</w:t>
      </w:r>
      <w:r>
        <w:rPr>
          <w:rFonts w:cs="Arial" w:asciiTheme="minorEastAsia" w:hAnsiTheme="minorEastAsia"/>
          <w:kern w:val="0"/>
          <w:sz w:val="24"/>
        </w:rPr>
        <w:t>完成</w:t>
      </w:r>
      <w:r>
        <w:rPr>
          <w:rFonts w:hint="eastAsia" w:cs="Arial" w:asciiTheme="minorEastAsia" w:hAnsiTheme="minorEastAsia"/>
          <w:kern w:val="0"/>
          <w:sz w:val="24"/>
        </w:rPr>
        <w:t>；2022年10月26日，山丹县发展和改革局下发文件《山丹县发展和改革局关于山丹县仓储物流中心建设项目建设项目可行性研究报告的批复》（山发改【2022】298号）。</w:t>
      </w:r>
    </w:p>
    <w:p w14:paraId="46E3EB87">
      <w:pPr>
        <w:widowControl/>
        <w:spacing w:line="480" w:lineRule="auto"/>
        <w:ind w:firstLine="480" w:firstLineChars="200"/>
        <w:rPr>
          <w:rFonts w:cs="Arial" w:asciiTheme="minorEastAsia" w:hAnsiTheme="minorEastAsia"/>
          <w:kern w:val="0"/>
          <w:sz w:val="24"/>
        </w:rPr>
      </w:pPr>
      <w:r>
        <w:rPr>
          <w:rFonts w:hint="eastAsia" w:ascii="宋体" w:hAnsi="宋体" w:eastAsia="宋体" w:cs="Arial"/>
          <w:kern w:val="0"/>
          <w:sz w:val="24"/>
        </w:rPr>
        <w:t>综上，我们认为本项目建设投资依法合规，项目成熟度较高，尚需办理工程建设规划许可证、施工许可证等手续，因此扣分。本项共计</w:t>
      </w:r>
      <w:r>
        <w:rPr>
          <w:rFonts w:ascii="宋体" w:hAnsi="宋体" w:eastAsia="宋体" w:cs="Arial"/>
          <w:kern w:val="0"/>
          <w:sz w:val="24"/>
        </w:rPr>
        <w:t>20</w:t>
      </w:r>
      <w:r>
        <w:rPr>
          <w:rFonts w:hint="eastAsia" w:ascii="宋体" w:hAnsi="宋体" w:eastAsia="宋体" w:cs="Arial"/>
          <w:kern w:val="0"/>
          <w:sz w:val="24"/>
        </w:rPr>
        <w:t>分，得分1</w:t>
      </w:r>
      <w:r>
        <w:rPr>
          <w:rFonts w:ascii="宋体" w:hAnsi="宋体" w:eastAsia="宋体" w:cs="Arial"/>
          <w:kern w:val="0"/>
          <w:sz w:val="24"/>
        </w:rPr>
        <w:t>7</w:t>
      </w:r>
      <w:r>
        <w:rPr>
          <w:rFonts w:hint="eastAsia" w:ascii="宋体" w:hAnsi="宋体" w:eastAsia="宋体" w:cs="Arial"/>
          <w:kern w:val="0"/>
          <w:sz w:val="24"/>
        </w:rPr>
        <w:t>分。</w:t>
      </w:r>
    </w:p>
    <w:p w14:paraId="0FD4730D">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（三）项目资金来源及到位可行性</w:t>
      </w:r>
    </w:p>
    <w:p w14:paraId="290F870E">
      <w:pPr>
        <w:widowControl/>
        <w:spacing w:line="480" w:lineRule="auto"/>
        <w:ind w:firstLine="480" w:firstLineChars="200"/>
        <w:rPr>
          <w:rFonts w:ascii="Arial" w:hAnsi="Arial" w:cs="Arial"/>
          <w:kern w:val="0"/>
          <w:sz w:val="24"/>
        </w:rPr>
      </w:pPr>
      <w:r>
        <w:rPr>
          <w:rFonts w:ascii="Arial" w:hAnsi="Arial" w:cs="Arial"/>
          <w:kern w:val="0"/>
          <w:sz w:val="24"/>
        </w:rPr>
        <w:t>1.项目资金来源</w:t>
      </w:r>
    </w:p>
    <w:p w14:paraId="66DFF594">
      <w:pPr>
        <w:widowControl/>
        <w:spacing w:line="480" w:lineRule="auto"/>
        <w:ind w:firstLine="480" w:firstLineChars="200"/>
        <w:rPr>
          <w:rFonts w:ascii="Arial" w:hAnsi="Arial" w:cs="Arial"/>
          <w:kern w:val="0"/>
          <w:sz w:val="24"/>
        </w:rPr>
      </w:pPr>
      <w:r>
        <w:rPr>
          <w:rFonts w:ascii="Arial" w:hAnsi="Arial" w:cs="Arial"/>
          <w:kern w:val="0"/>
          <w:sz w:val="24"/>
        </w:rPr>
        <w:t>本次评估的山丹县仓储物流中心建设项目建设项目，总投资</w:t>
      </w:r>
      <w:r>
        <w:rPr>
          <w:rFonts w:hint="eastAsia" w:ascii="Arial" w:hAnsi="Arial" w:cs="Arial"/>
          <w:kern w:val="0"/>
          <w:sz w:val="24"/>
        </w:rPr>
        <w:t>9,600.00</w:t>
      </w:r>
      <w:r>
        <w:rPr>
          <w:rFonts w:ascii="Arial" w:hAnsi="Arial" w:cs="Arial"/>
          <w:kern w:val="0"/>
          <w:sz w:val="24"/>
        </w:rPr>
        <w:t>万元，其中申请债券资金</w:t>
      </w:r>
      <w:r>
        <w:rPr>
          <w:rFonts w:hint="eastAsia" w:ascii="Arial" w:hAnsi="Arial" w:cs="Arial"/>
          <w:kern w:val="0"/>
          <w:sz w:val="24"/>
        </w:rPr>
        <w:t>7,680.00</w:t>
      </w:r>
      <w:r>
        <w:rPr>
          <w:rFonts w:ascii="Arial" w:hAnsi="Arial" w:cs="Arial"/>
          <w:kern w:val="0"/>
          <w:sz w:val="24"/>
        </w:rPr>
        <w:t>万元，</w:t>
      </w:r>
      <w:r>
        <w:rPr>
          <w:rFonts w:hint="eastAsia" w:ascii="Arial" w:hAnsi="Arial" w:cs="Arial"/>
          <w:kern w:val="0"/>
          <w:sz w:val="24"/>
        </w:rPr>
        <w:t>企业自筹</w:t>
      </w:r>
      <w:r>
        <w:rPr>
          <w:rFonts w:ascii="Arial" w:hAnsi="Arial" w:cs="Arial"/>
          <w:kern w:val="0"/>
          <w:sz w:val="24"/>
        </w:rPr>
        <w:t>资金1,920.00万元。</w:t>
      </w:r>
    </w:p>
    <w:p w14:paraId="153804BA">
      <w:pPr>
        <w:widowControl/>
        <w:spacing w:line="480" w:lineRule="auto"/>
        <w:ind w:firstLine="480" w:firstLineChars="200"/>
        <w:rPr>
          <w:rFonts w:ascii="Arial" w:hAnsi="Arial" w:cs="Arial"/>
          <w:kern w:val="0"/>
          <w:sz w:val="24"/>
        </w:rPr>
      </w:pPr>
      <w:r>
        <w:rPr>
          <w:rFonts w:ascii="Arial" w:hAnsi="Arial" w:cs="Arial"/>
          <w:kern w:val="0"/>
          <w:sz w:val="24"/>
        </w:rPr>
        <w:t>2.资金到位可行性。</w:t>
      </w:r>
    </w:p>
    <w:p w14:paraId="3F2F443A">
      <w:pPr>
        <w:widowControl/>
        <w:spacing w:line="480" w:lineRule="auto"/>
        <w:ind w:firstLine="480" w:firstLineChars="200"/>
        <w:rPr>
          <w:rFonts w:ascii="Arial" w:hAnsi="Arial" w:cs="Arial"/>
          <w:kern w:val="0"/>
          <w:sz w:val="24"/>
        </w:rPr>
      </w:pPr>
      <w:r>
        <w:rPr>
          <w:rFonts w:ascii="Arial" w:hAnsi="Arial" w:cs="Arial"/>
          <w:kern w:val="0"/>
          <w:sz w:val="24"/>
        </w:rPr>
        <w:t>（1）政府专项债券资金可获得性。</w:t>
      </w:r>
    </w:p>
    <w:p w14:paraId="0D149962">
      <w:pPr>
        <w:widowControl/>
        <w:spacing w:line="480" w:lineRule="auto"/>
        <w:ind w:firstLine="480" w:firstLineChars="200"/>
        <w:rPr>
          <w:rFonts w:ascii="Arial" w:hAnsi="Arial" w:cs="Arial"/>
          <w:kern w:val="0"/>
          <w:sz w:val="24"/>
        </w:rPr>
      </w:pPr>
      <w:r>
        <w:rPr>
          <w:rFonts w:ascii="Arial" w:hAnsi="Arial" w:cs="Arial"/>
          <w:kern w:val="0"/>
          <w:sz w:val="24"/>
        </w:rPr>
        <w:t>本项目符合《中共中央办公厅国务院办公厅关于做好地方政府专项债券发行及项目配套融资工作的通知》（厅字【2019】33号）和《财政部办公厅国家发改委办公厅关于梳理2022年新增专项债券项目资金需求的通知》（财办预【2021】209号）中的关于地方政府专项债券的支持领域和方向。</w:t>
      </w:r>
    </w:p>
    <w:p w14:paraId="377A07FC">
      <w:pPr>
        <w:widowControl/>
        <w:spacing w:line="480" w:lineRule="auto"/>
        <w:ind w:firstLine="480" w:firstLineChars="200"/>
        <w:rPr>
          <w:rFonts w:ascii="Arial" w:hAnsi="Arial" w:cs="Arial"/>
          <w:kern w:val="0"/>
          <w:sz w:val="24"/>
        </w:rPr>
      </w:pPr>
      <w:r>
        <w:rPr>
          <w:rFonts w:ascii="Arial" w:hAnsi="Arial" w:cs="Arial"/>
          <w:kern w:val="0"/>
          <w:sz w:val="24"/>
        </w:rPr>
        <w:t>本项目的收入来源明确，收入预测基于现行的政府批复价格和合理的市场需求预测，项目前期各项工作符合地方政府专项债券的申请条件，因此合理预期项目有较大可能成功申请到地方政府专项债券资金。</w:t>
      </w:r>
    </w:p>
    <w:p w14:paraId="4F867F28">
      <w:pPr>
        <w:widowControl/>
        <w:numPr>
          <w:ilvl w:val="0"/>
          <w:numId w:val="1"/>
        </w:numPr>
        <w:spacing w:line="480" w:lineRule="auto"/>
        <w:ind w:firstLine="480" w:firstLineChars="200"/>
        <w:rPr>
          <w:rFonts w:ascii="Arial" w:hAnsi="Arial" w:cs="Arial"/>
          <w:kern w:val="0"/>
          <w:sz w:val="24"/>
        </w:rPr>
      </w:pPr>
      <w:r>
        <w:rPr>
          <w:rFonts w:ascii="Arial" w:hAnsi="Arial" w:cs="Arial"/>
          <w:kern w:val="0"/>
          <w:sz w:val="24"/>
        </w:rPr>
        <w:t>自筹资金可获得性</w:t>
      </w:r>
    </w:p>
    <w:p w14:paraId="18002473">
      <w:pPr>
        <w:widowControl/>
        <w:spacing w:line="480" w:lineRule="auto"/>
        <w:ind w:firstLine="480" w:firstLineChars="200"/>
        <w:rPr>
          <w:rFonts w:ascii="Arial" w:hAnsi="Arial" w:cs="Arial"/>
          <w:kern w:val="0"/>
          <w:sz w:val="24"/>
        </w:rPr>
      </w:pPr>
      <w:r>
        <w:rPr>
          <w:rFonts w:hint="eastAsia" w:ascii="Arial" w:hAnsi="Arial" w:cs="Arial"/>
          <w:kern w:val="0"/>
          <w:sz w:val="24"/>
        </w:rPr>
        <w:t>根据项目可行性研究报告，项目总投资</w:t>
      </w:r>
      <w:r>
        <w:rPr>
          <w:rFonts w:ascii="Arial" w:hAnsi="Arial" w:cs="Arial"/>
          <w:kern w:val="0"/>
          <w:sz w:val="24"/>
        </w:rPr>
        <w:t>9,600.00</w:t>
      </w:r>
      <w:r>
        <w:rPr>
          <w:rFonts w:hint="eastAsia" w:ascii="Arial" w:hAnsi="Arial" w:cs="Arial"/>
          <w:kern w:val="0"/>
          <w:sz w:val="24"/>
        </w:rPr>
        <w:t>万元，拟申请债券资7,680.00万元，剩余</w:t>
      </w:r>
      <w:r>
        <w:rPr>
          <w:rFonts w:ascii="Arial" w:hAnsi="Arial" w:cs="Arial"/>
          <w:kern w:val="0"/>
          <w:sz w:val="24"/>
        </w:rPr>
        <w:t>1,920.00</w:t>
      </w:r>
      <w:r>
        <w:rPr>
          <w:rFonts w:hint="eastAsia" w:ascii="Arial" w:hAnsi="Arial" w:cs="Arial"/>
          <w:kern w:val="0"/>
          <w:sz w:val="24"/>
        </w:rPr>
        <w:t>万元的资金缺口由项目单位自行筹措；剩余资金由本单位在建设期内按计划支出，本单位经营状况良好，资产负债率为30.02%，自筹资金可获得性较强。</w:t>
      </w:r>
    </w:p>
    <w:p w14:paraId="73AA68B6">
      <w:pPr>
        <w:widowControl/>
        <w:spacing w:line="480" w:lineRule="auto"/>
        <w:ind w:firstLine="480" w:firstLineChars="200"/>
        <w:rPr>
          <w:rFonts w:ascii="Arial" w:hAnsi="Arial" w:cs="Arial"/>
          <w:kern w:val="0"/>
          <w:sz w:val="24"/>
        </w:rPr>
      </w:pPr>
      <w:r>
        <w:rPr>
          <w:rFonts w:ascii="Arial" w:hAnsi="Arial" w:cs="Arial"/>
          <w:kern w:val="0"/>
          <w:sz w:val="24"/>
        </w:rPr>
        <w:t>综上，目前本项目资金来源明确为申请政府专项债券和</w:t>
      </w:r>
      <w:r>
        <w:rPr>
          <w:rFonts w:hint="eastAsia" w:ascii="Arial" w:hAnsi="Arial" w:cs="Arial"/>
          <w:kern w:val="0"/>
          <w:sz w:val="24"/>
        </w:rPr>
        <w:t>企业</w:t>
      </w:r>
      <w:r>
        <w:rPr>
          <w:rFonts w:ascii="Arial" w:hAnsi="Arial" w:cs="Arial"/>
          <w:kern w:val="0"/>
          <w:sz w:val="24"/>
        </w:rPr>
        <w:t>自筹资金，但对于自筹资金可获得性，由于下年度资金预算尚未经过公司审批，资金流向尚存在不确定性，因此扣分。本项共计10分，得分9分。</w:t>
      </w:r>
    </w:p>
    <w:p w14:paraId="6D847100">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（四）项目收入、成本、收益预测合理性</w:t>
      </w:r>
    </w:p>
    <w:p w14:paraId="292A60BC">
      <w:pPr>
        <w:widowControl/>
        <w:spacing w:line="480" w:lineRule="auto"/>
        <w:ind w:firstLine="480" w:firstLineChars="200"/>
        <w:rPr>
          <w:rFonts w:ascii="Arial" w:hAnsi="Arial" w:cs="Arial"/>
          <w:kern w:val="0"/>
          <w:sz w:val="24"/>
        </w:rPr>
      </w:pPr>
      <w:r>
        <w:rPr>
          <w:rFonts w:ascii="Arial" w:hAnsi="Arial" w:cs="Arial"/>
          <w:kern w:val="0"/>
          <w:sz w:val="24"/>
        </w:rPr>
        <w:t>本项目建设内容为</w:t>
      </w:r>
      <w:r>
        <w:rPr>
          <w:rFonts w:hint="eastAsia" w:ascii="Arial" w:hAnsi="Arial" w:cs="Arial"/>
          <w:kern w:val="0"/>
          <w:sz w:val="24"/>
        </w:rPr>
        <w:t>修建仓储物流中心</w:t>
      </w:r>
      <w:r>
        <w:rPr>
          <w:rFonts w:ascii="Arial" w:hAnsi="Arial" w:cs="Arial"/>
          <w:kern w:val="0"/>
          <w:sz w:val="24"/>
        </w:rPr>
        <w:t>，项目的收益主要为</w:t>
      </w:r>
      <w:r>
        <w:rPr>
          <w:rFonts w:hint="eastAsia" w:ascii="Arial" w:hAnsi="Arial" w:cs="Arial"/>
          <w:kern w:val="0"/>
          <w:sz w:val="24"/>
        </w:rPr>
        <w:t>厂房租赁收入、停车场收入、物业收入、车辆检测收入</w:t>
      </w:r>
      <w:r>
        <w:rPr>
          <w:rFonts w:ascii="Arial" w:hAnsi="Arial" w:cs="Arial"/>
          <w:kern w:val="0"/>
          <w:sz w:val="24"/>
        </w:rPr>
        <w:t>，项目预期收入来源明确。项目平均年收入1,610.02万元，项目成本主要包括</w:t>
      </w:r>
      <w:r>
        <w:rPr>
          <w:rFonts w:hint="eastAsia" w:ascii="Arial" w:hAnsi="Arial" w:cs="Arial"/>
          <w:kern w:val="0"/>
          <w:sz w:val="24"/>
        </w:rPr>
        <w:t>工资及福利费、日常维修费、车辆检测成本和其他费用，</w:t>
      </w:r>
      <w:r>
        <w:rPr>
          <w:rFonts w:ascii="Arial" w:hAnsi="Arial" w:cs="Arial"/>
          <w:kern w:val="0"/>
          <w:sz w:val="24"/>
        </w:rPr>
        <w:t>平均年成本442.57万元，平均年净收益1,167.45万元。</w:t>
      </w:r>
    </w:p>
    <w:p w14:paraId="30D84DE3">
      <w:pPr>
        <w:widowControl/>
        <w:spacing w:line="480" w:lineRule="auto"/>
        <w:ind w:firstLine="480" w:firstLineChars="200"/>
        <w:rPr>
          <w:rFonts w:ascii="Arial" w:hAnsi="Arial" w:cs="Arial"/>
          <w:kern w:val="0"/>
          <w:sz w:val="24"/>
        </w:rPr>
      </w:pPr>
      <w:r>
        <w:rPr>
          <w:rFonts w:ascii="Arial" w:hAnsi="Arial" w:cs="Arial"/>
          <w:kern w:val="0"/>
          <w:sz w:val="24"/>
        </w:rPr>
        <w:t>综上，本项目的收入、成本、收益预测情况较为合理，项目自身取得的收益可覆盖债券产生的本金和利息，符合政府专项债券相关的偿债要求。考虑到目前对项目预期收入、成本的测算都是基于基本假设前提,项目收益具有一定的不确定性，因此扣分。本项共计10分，得分9分。</w:t>
      </w:r>
    </w:p>
    <w:p w14:paraId="133BF82F">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（五）债券资金需求合理性</w:t>
      </w:r>
    </w:p>
    <w:p w14:paraId="573BFFA1">
      <w:pPr>
        <w:widowControl/>
        <w:spacing w:line="480" w:lineRule="auto"/>
        <w:ind w:firstLine="480" w:firstLineChars="200"/>
        <w:rPr>
          <w:rFonts w:ascii="Arial" w:hAnsi="Arial" w:cs="Arial"/>
          <w:kern w:val="0"/>
          <w:sz w:val="24"/>
        </w:rPr>
      </w:pPr>
      <w:r>
        <w:rPr>
          <w:rFonts w:ascii="Arial" w:hAnsi="Arial" w:cs="Arial"/>
          <w:kern w:val="0"/>
          <w:sz w:val="24"/>
        </w:rPr>
        <w:t>评估项目总投资</w:t>
      </w:r>
      <w:r>
        <w:rPr>
          <w:rFonts w:hint="eastAsia" w:ascii="Arial" w:hAnsi="Arial" w:cs="Arial"/>
          <w:kern w:val="0"/>
          <w:sz w:val="24"/>
        </w:rPr>
        <w:t>9,600.00</w:t>
      </w:r>
      <w:r>
        <w:rPr>
          <w:rFonts w:ascii="Arial" w:hAnsi="Arial" w:cs="Arial"/>
          <w:kern w:val="0"/>
          <w:sz w:val="24"/>
        </w:rPr>
        <w:t>万元，其中企业自筹资金1,920.00万</w:t>
      </w:r>
      <w:r>
        <w:rPr>
          <w:rFonts w:hint="eastAsia" w:ascii="Arial" w:hAnsi="Arial" w:cs="Arial"/>
          <w:kern w:val="0"/>
          <w:sz w:val="24"/>
        </w:rPr>
        <w:t>，拟发行债券资金7,680.00万元，</w:t>
      </w:r>
      <w:r>
        <w:rPr>
          <w:rFonts w:ascii="Arial" w:hAnsi="Arial" w:cs="Arial"/>
          <w:kern w:val="0"/>
          <w:sz w:val="24"/>
        </w:rPr>
        <w:t>占项目投资的</w:t>
      </w:r>
      <w:r>
        <w:rPr>
          <w:rFonts w:hint="eastAsia" w:ascii="Arial" w:hAnsi="Arial" w:cs="Arial"/>
          <w:kern w:val="0"/>
          <w:sz w:val="24"/>
        </w:rPr>
        <w:t>80</w:t>
      </w:r>
      <w:r>
        <w:rPr>
          <w:rFonts w:ascii="Arial" w:hAnsi="Arial" w:cs="Arial"/>
          <w:kern w:val="0"/>
          <w:sz w:val="24"/>
        </w:rPr>
        <w:t>.00%。本项目目前已编制了可行性研究报告，取得了可行性研究报告批复，其他前期手续正在办理中。</w:t>
      </w:r>
    </w:p>
    <w:p w14:paraId="1BA204BE">
      <w:pPr>
        <w:widowControl/>
        <w:spacing w:line="480" w:lineRule="auto"/>
        <w:ind w:firstLine="480" w:firstLineChars="200"/>
        <w:rPr>
          <w:rFonts w:ascii="Arial" w:hAnsi="Arial" w:cs="Arial"/>
          <w:kern w:val="0"/>
          <w:sz w:val="24"/>
        </w:rPr>
      </w:pPr>
      <w:r>
        <w:rPr>
          <w:rFonts w:ascii="Arial" w:hAnsi="Arial" w:cs="Arial"/>
          <w:kern w:val="0"/>
          <w:sz w:val="24"/>
        </w:rPr>
        <w:t>综上，本项目拟申请发行债券资金</w:t>
      </w:r>
      <w:r>
        <w:rPr>
          <w:rFonts w:hint="eastAsia" w:ascii="Arial" w:hAnsi="Arial" w:cs="Arial"/>
          <w:kern w:val="0"/>
          <w:sz w:val="24"/>
        </w:rPr>
        <w:t>7,680.00</w:t>
      </w:r>
      <w:r>
        <w:rPr>
          <w:rFonts w:ascii="Arial" w:hAnsi="Arial" w:cs="Arial"/>
          <w:kern w:val="0"/>
          <w:sz w:val="24"/>
        </w:rPr>
        <w:t>万元，满足资本金占投资总额20%的发债要求，同时债券存续期内，项目收益能覆盖债券本息，因此债券资金需求合理。本项共计10分，得分10分。</w:t>
      </w:r>
    </w:p>
    <w:p w14:paraId="011BF262">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（六）项目偿债计划可行性和偿债风险点</w:t>
      </w:r>
    </w:p>
    <w:p w14:paraId="61F1E206">
      <w:pPr>
        <w:widowControl/>
        <w:spacing w:line="480" w:lineRule="auto"/>
        <w:ind w:firstLine="480" w:firstLineChars="200"/>
        <w:rPr>
          <w:rFonts w:ascii="Arial" w:hAnsi="Arial" w:cs="Arial"/>
          <w:kern w:val="0"/>
          <w:sz w:val="24"/>
        </w:rPr>
      </w:pPr>
      <w:r>
        <w:rPr>
          <w:rFonts w:ascii="Arial" w:hAnsi="Arial" w:cs="Arial"/>
          <w:kern w:val="0"/>
          <w:sz w:val="24"/>
        </w:rPr>
        <w:t>1.项目偿债计划可行性</w:t>
      </w:r>
    </w:p>
    <w:p w14:paraId="1BD5DFC4">
      <w:pPr>
        <w:widowControl/>
        <w:spacing w:line="480" w:lineRule="auto"/>
        <w:ind w:firstLine="480" w:firstLineChars="200"/>
        <w:rPr>
          <w:rFonts w:ascii="Arial" w:hAnsi="Arial" w:cs="Arial"/>
          <w:kern w:val="0"/>
          <w:sz w:val="24"/>
        </w:rPr>
      </w:pPr>
      <w:r>
        <w:rPr>
          <w:rFonts w:ascii="Arial" w:hAnsi="Arial" w:cs="Arial"/>
          <w:kern w:val="0"/>
          <w:sz w:val="24"/>
        </w:rPr>
        <w:t>本项目的收入、成本、收益预测均基于合理的依据，根据收入、成本、收益预测的现金流能够覆盖债券产生的本金及利息，且偿债覆盖率符合专项债券的要求，据此判断，项目偿债计划切实可行。</w:t>
      </w:r>
    </w:p>
    <w:p w14:paraId="29EB59D4">
      <w:pPr>
        <w:widowControl/>
        <w:spacing w:line="480" w:lineRule="auto"/>
        <w:ind w:firstLine="480" w:firstLineChars="200"/>
        <w:rPr>
          <w:rFonts w:ascii="Arial" w:hAnsi="Arial" w:cs="Arial"/>
          <w:kern w:val="0"/>
          <w:sz w:val="24"/>
        </w:rPr>
      </w:pPr>
      <w:r>
        <w:rPr>
          <w:rFonts w:ascii="Arial" w:hAnsi="Arial" w:cs="Arial"/>
          <w:kern w:val="0"/>
          <w:sz w:val="24"/>
        </w:rPr>
        <w:t>2.偿债风险点</w:t>
      </w:r>
    </w:p>
    <w:p w14:paraId="4CAB03EF">
      <w:pPr>
        <w:widowControl/>
        <w:spacing w:line="480" w:lineRule="auto"/>
        <w:ind w:firstLine="480" w:firstLineChars="200"/>
        <w:rPr>
          <w:rFonts w:ascii="Arial" w:hAnsi="Arial" w:cs="Arial"/>
          <w:kern w:val="0"/>
          <w:sz w:val="24"/>
        </w:rPr>
      </w:pPr>
      <w:r>
        <w:rPr>
          <w:rFonts w:ascii="Arial" w:hAnsi="Arial" w:cs="Arial"/>
          <w:kern w:val="0"/>
          <w:sz w:val="24"/>
        </w:rPr>
        <w:t>本项目预计收益可以保障所申请债券资金的还本付息，但是依然存在如下风险：</w:t>
      </w:r>
    </w:p>
    <w:p w14:paraId="02F65B6E">
      <w:pPr>
        <w:widowControl/>
        <w:spacing w:line="480" w:lineRule="auto"/>
        <w:ind w:firstLine="480" w:firstLineChars="200"/>
        <w:rPr>
          <w:rFonts w:ascii="Arial" w:hAnsi="Arial" w:cs="Arial"/>
          <w:kern w:val="0"/>
          <w:sz w:val="24"/>
        </w:rPr>
      </w:pPr>
      <w:r>
        <w:rPr>
          <w:rFonts w:ascii="Arial" w:hAnsi="Arial" w:cs="Arial"/>
          <w:kern w:val="0"/>
          <w:sz w:val="24"/>
        </w:rPr>
        <w:t>（1）国家和地方的现行法律法规、监管、财政、经济状况或国家宏观调控政策发生重大变化；</w:t>
      </w:r>
    </w:p>
    <w:p w14:paraId="6E88A899">
      <w:pPr>
        <w:widowControl/>
        <w:spacing w:line="480" w:lineRule="auto"/>
        <w:ind w:firstLine="480" w:firstLineChars="200"/>
        <w:rPr>
          <w:rFonts w:ascii="Arial" w:hAnsi="Arial" w:cs="Arial"/>
          <w:kern w:val="0"/>
          <w:sz w:val="24"/>
        </w:rPr>
      </w:pPr>
      <w:r>
        <w:rPr>
          <w:rFonts w:ascii="Arial" w:hAnsi="Arial" w:cs="Arial"/>
          <w:kern w:val="0"/>
          <w:sz w:val="24"/>
        </w:rPr>
        <w:t>（2）国家现行的利率、汇率及通货膨胀率发生重大变化；</w:t>
      </w:r>
    </w:p>
    <w:p w14:paraId="1DB9B938">
      <w:pPr>
        <w:widowControl/>
        <w:spacing w:line="480" w:lineRule="auto"/>
        <w:ind w:firstLine="480" w:firstLineChars="200"/>
        <w:rPr>
          <w:rFonts w:ascii="Arial" w:hAnsi="Arial" w:cs="Arial"/>
          <w:kern w:val="0"/>
          <w:sz w:val="24"/>
        </w:rPr>
      </w:pPr>
      <w:r>
        <w:rPr>
          <w:rFonts w:ascii="Arial" w:hAnsi="Arial" w:cs="Arial"/>
          <w:kern w:val="0"/>
          <w:sz w:val="24"/>
        </w:rPr>
        <w:t>（3）税收政策发生重大不利变化；</w:t>
      </w:r>
    </w:p>
    <w:p w14:paraId="1F3D84D8">
      <w:pPr>
        <w:widowControl/>
        <w:spacing w:line="480" w:lineRule="auto"/>
        <w:ind w:firstLine="480" w:firstLineChars="200"/>
        <w:rPr>
          <w:rFonts w:ascii="Arial" w:hAnsi="Arial" w:cs="Arial"/>
          <w:kern w:val="0"/>
          <w:sz w:val="24"/>
        </w:rPr>
      </w:pPr>
      <w:r>
        <w:rPr>
          <w:rFonts w:ascii="Arial" w:hAnsi="Arial" w:cs="Arial"/>
          <w:kern w:val="0"/>
          <w:sz w:val="24"/>
        </w:rPr>
        <w:t>（4）预测的销售价格、成本发生重大变化；</w:t>
      </w:r>
    </w:p>
    <w:p w14:paraId="6CCC9190">
      <w:pPr>
        <w:widowControl/>
        <w:spacing w:line="480" w:lineRule="auto"/>
        <w:ind w:firstLine="480" w:firstLineChars="200"/>
        <w:rPr>
          <w:rFonts w:ascii="Arial" w:hAnsi="Arial" w:cs="Arial"/>
          <w:kern w:val="0"/>
          <w:sz w:val="24"/>
        </w:rPr>
      </w:pPr>
      <w:r>
        <w:rPr>
          <w:rFonts w:ascii="Arial" w:hAnsi="Arial" w:cs="Arial"/>
          <w:kern w:val="0"/>
          <w:sz w:val="24"/>
        </w:rPr>
        <w:t>（5）不可抗力和不可预见因素造成的其他重大不利影响。</w:t>
      </w:r>
    </w:p>
    <w:p w14:paraId="68DD2DEA">
      <w:pPr>
        <w:widowControl/>
        <w:spacing w:line="480" w:lineRule="auto"/>
        <w:ind w:firstLine="480" w:firstLineChars="200"/>
        <w:rPr>
          <w:rFonts w:ascii="Arial" w:hAnsi="Arial" w:cs="Arial"/>
          <w:kern w:val="0"/>
          <w:sz w:val="24"/>
        </w:rPr>
      </w:pPr>
      <w:r>
        <w:rPr>
          <w:rFonts w:ascii="Arial" w:hAnsi="Arial" w:cs="Arial"/>
          <w:kern w:val="0"/>
          <w:sz w:val="24"/>
        </w:rPr>
        <w:t>总体来看，本项目收益的偿债覆盖率较高，以上风险发生的可能性较低，风险总体可控。</w:t>
      </w:r>
    </w:p>
    <w:p w14:paraId="3FAD53A1">
      <w:pPr>
        <w:widowControl/>
        <w:spacing w:line="480" w:lineRule="auto"/>
        <w:ind w:firstLine="480" w:firstLineChars="200"/>
        <w:rPr>
          <w:rFonts w:ascii="Arial" w:hAnsi="Arial" w:cs="Arial"/>
          <w:kern w:val="0"/>
          <w:sz w:val="24"/>
        </w:rPr>
      </w:pPr>
      <w:r>
        <w:rPr>
          <w:rFonts w:ascii="Arial" w:hAnsi="Arial" w:cs="Arial"/>
          <w:kern w:val="0"/>
          <w:sz w:val="24"/>
        </w:rPr>
        <w:t>综上，本项目具有偿债计划，但项目收入成本的预测是基于合理假设，存在不确定性，因此偿债能力亦存在一定的不确定性，故酌情扣分；对于偿债风险点，由于外部的市场环境以及内部因素具有不确定性，风险不能全部识别，收益的实现是建立在未来外部环境未发生重大变化的情况下，故酌情扣分。本项共计20分，得分18分。</w:t>
      </w:r>
    </w:p>
    <w:p w14:paraId="28A03BCB">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（七）绩效目标的合理性</w:t>
      </w:r>
    </w:p>
    <w:p w14:paraId="69C8F04C">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1.绩效目标和指标内容设置指向明确、内容设置合理</w:t>
      </w:r>
    </w:p>
    <w:p w14:paraId="00A33FF5">
      <w:pPr>
        <w:widowControl/>
        <w:spacing w:line="480" w:lineRule="auto"/>
        <w:ind w:firstLine="480" w:firstLineChars="200"/>
        <w:rPr>
          <w:rFonts w:ascii="Arial" w:hAnsi="Arial" w:cs="Arial"/>
          <w:kern w:val="0"/>
          <w:sz w:val="24"/>
        </w:rPr>
      </w:pPr>
      <w:r>
        <w:rPr>
          <w:rFonts w:hint="eastAsia" w:ascii="Arial" w:hAnsi="Arial" w:cs="Arial"/>
          <w:kern w:val="0"/>
          <w:sz w:val="24"/>
        </w:rPr>
        <w:t>建立集中服务运作的机械仓储物流中心，可在一定程度上为改善信用体系的欠缺，降低物流交易成本和提高物流服务效率提供有益的尝试与实践，有助于改善当前商业信用不健全的情况，支持和强化货主对物流服务需求的积极态度，减少自营物流，扩大物流服务的市场需求不足。对山丹县与省内和周边重要的经济中心城市实现市场管制的合理化和科学化，建立良好的市场秩序，形成对物流服务企业活动的良性规范与积极引导，具有十分积极和现实的意义。该项目建设还是集现代化配送于一体的商品流转和交易的场所。对促进甘肃省乃至西北地区的物流产业向现代化、信息化、专业化发展具有积极作用。同时，也在增加居民收入、解决就业压力、带来税收等方面为当地作出贡献。</w:t>
      </w:r>
      <w:r>
        <w:rPr>
          <w:rFonts w:ascii="Arial" w:hAnsi="Arial" w:cs="Arial"/>
          <w:kern w:val="0"/>
          <w:sz w:val="24"/>
        </w:rPr>
        <w:t>项目绩效目标和指标内容设置反映了项目综合收益实现情况、带动社会</w:t>
      </w:r>
      <w:r>
        <w:rPr>
          <w:rFonts w:hint="eastAsia" w:cs="Arial" w:asciiTheme="minorEastAsia" w:hAnsiTheme="minorEastAsia"/>
          <w:kern w:val="0"/>
          <w:sz w:val="24"/>
        </w:rPr>
        <w:t>效益情况和项目直接服务对象满意度情况，目标内容明确合理。</w:t>
      </w:r>
    </w:p>
    <w:p w14:paraId="1E03FC52">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2.绩效目标和指标内容设置完整细致</w:t>
      </w:r>
    </w:p>
    <w:p w14:paraId="73ED22E3">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绩效目标和具体指标涵盖项目决策、项目管理、项目产出、项目效益四个一级指标，并从项目立项、资金管理、产出数量、质量、时效、成本以及经济效益、社会效益、生态效益、可持续影响、满意度等二级指标方面对一级指标进行了细化，针对每一项二级指标设置了对应的三级指标，总体绩效目标层次分明，指标内容完整，含义明确，定量指标与定性指标相结合，指标评价要点明晰，评价可操作性较强。</w:t>
      </w:r>
    </w:p>
    <w:p w14:paraId="515FD9C4">
      <w:pPr>
        <w:widowControl/>
        <w:spacing w:line="480" w:lineRule="auto"/>
        <w:ind w:firstLine="480" w:firstLineChars="200"/>
        <w:rPr>
          <w:rFonts w:ascii="Arial" w:hAnsi="Arial" w:cs="Arial"/>
          <w:kern w:val="0"/>
          <w:sz w:val="24"/>
        </w:rPr>
      </w:pPr>
      <w:r>
        <w:rPr>
          <w:rFonts w:ascii="Arial" w:hAnsi="Arial" w:cs="Arial"/>
          <w:kern w:val="0"/>
          <w:sz w:val="24"/>
        </w:rPr>
        <w:t>综上，本项目绩效目标明确合理，内容设定将绩效目标细化量化为具体指标。本项共计12分，得分12分。</w:t>
      </w:r>
    </w:p>
    <w:p w14:paraId="43F6CCF4">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（八）项目自评结论</w:t>
      </w:r>
    </w:p>
    <w:p w14:paraId="2FBFFBB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综上，自评小组认为：本项目属于年度政府专项债券支持的范围和领域,项目的实施具有充分的必要性；项目属于具有一定收益的公益性项目，前期立项论证已完成，投资依法合规，政策风险可控；项目资金来源明确，债券资金需求合理；项目收入、成本、收益预测较为合理，偿债计划可行，偿债风险较低；项目绩效目标和指标设置明确、完整、合理可行。本项目自评综合得分</w:t>
      </w:r>
      <w:r>
        <w:rPr>
          <w:rFonts w:cs="Arial" w:asciiTheme="minorEastAsia" w:hAnsiTheme="minorEastAsia"/>
          <w:kern w:val="0"/>
          <w:sz w:val="24"/>
        </w:rPr>
        <w:t>9</w:t>
      </w:r>
      <w:r>
        <w:rPr>
          <w:rFonts w:hint="eastAsia" w:cs="Arial" w:asciiTheme="minorEastAsia" w:hAnsiTheme="minorEastAsia"/>
          <w:kern w:val="0"/>
          <w:sz w:val="24"/>
        </w:rPr>
        <w:t>3分，具备专项债券资金支持的条件。</w:t>
      </w:r>
    </w:p>
    <w:p w14:paraId="18CA541E">
      <w:pPr>
        <w:spacing w:before="240" w:after="240" w:line="480" w:lineRule="auto"/>
        <w:ind w:firstLine="482" w:firstLineChars="200"/>
        <w:outlineLvl w:val="0"/>
        <w:rPr>
          <w:rFonts w:cs="Arial" w:asciiTheme="minorEastAsia" w:hAnsiTheme="minorEastAsia"/>
          <w:b/>
          <w:bCs/>
          <w:sz w:val="24"/>
        </w:rPr>
      </w:pPr>
      <w:r>
        <w:rPr>
          <w:rFonts w:hint="eastAsia" w:cs="Arial" w:asciiTheme="minorEastAsia" w:hAnsiTheme="minorEastAsia"/>
          <w:b/>
          <w:bCs/>
          <w:sz w:val="24"/>
        </w:rPr>
        <w:t>四</w:t>
      </w:r>
      <w:r>
        <w:rPr>
          <w:rFonts w:cs="Arial" w:asciiTheme="minorEastAsia" w:hAnsiTheme="minorEastAsia"/>
          <w:b/>
          <w:bCs/>
          <w:sz w:val="24"/>
        </w:rPr>
        <w:t>、其他需要说明的问题</w:t>
      </w:r>
    </w:p>
    <w:p w14:paraId="6567E3DB">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的前期工作是项目顺利实施的重要基础，包括是否取得前期各项建设手续、项目建设资金是否有效落实以及债券资金需求是否合理等。依据项目当前的进度，结合政府专项债券的政策要求，我们将着力推进以下工作：</w:t>
      </w:r>
    </w:p>
    <w:p w14:paraId="0BA5B2BD">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（一）加紧落实项目建设前期手续</w:t>
      </w:r>
    </w:p>
    <w:p w14:paraId="797B82C8">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截至目前，项目已编制可行性研究报告，取得了可行性研究报告批复，我们将加紧推进项目进度，落实项目建设前期其它各项手续，包括工程建设规划许可证、施工图设计、施工图审查意见书和施工许可证等资料，确保项目早日开工建设。</w:t>
      </w:r>
    </w:p>
    <w:p w14:paraId="3ABFC202">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（二）完善项目收入成本资料</w:t>
      </w:r>
    </w:p>
    <w:p w14:paraId="5EDE557E">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项目的收入成本资料是政府专项债券评估的关键基础信息，本项目当前的收入成本资料来源于项目可行性研究报告，我们将进一步完善项目收入成本数据的支撑性资料，为后续政府专项债券评审提供坚实的依据。</w:t>
      </w:r>
    </w:p>
    <w:p w14:paraId="17D1AEA1">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（三）进一步明确项目建设资金安排</w:t>
      </w:r>
    </w:p>
    <w:p w14:paraId="75A4A6D5">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目前，我们已经确定了建设资金的总体筹措渠道，在后续工作中将结合政府专项债券关于项目资本金等的要求，进一步细化资金筹措方案，按项目建设方案分年度、分阶段安排资金来源及支出，明确资金到位资料，为项目顺利开工建设提供必要的保证。</w:t>
      </w:r>
    </w:p>
    <w:p w14:paraId="426C5B70">
      <w:pPr>
        <w:widowControl/>
        <w:spacing w:line="480" w:lineRule="auto"/>
        <w:ind w:firstLine="480" w:firstLineChars="200"/>
        <w:rPr>
          <w:rFonts w:cs="Arial" w:asciiTheme="minorEastAsia" w:hAnsiTheme="minorEastAsia"/>
          <w:kern w:val="0"/>
          <w:sz w:val="24"/>
        </w:rPr>
      </w:pPr>
      <w:r>
        <w:rPr>
          <w:rFonts w:hint="eastAsia" w:cs="Arial" w:asciiTheme="minorEastAsia" w:hAnsiTheme="minorEastAsia"/>
          <w:kern w:val="0"/>
          <w:sz w:val="24"/>
        </w:rPr>
        <w:t>（四）依法合规使用债券资金</w:t>
      </w:r>
    </w:p>
    <w:p w14:paraId="2503560F">
      <w:pPr>
        <w:widowControl/>
        <w:spacing w:line="480" w:lineRule="auto"/>
        <w:ind w:firstLine="480" w:firstLineChars="200"/>
        <w:rPr>
          <w:rFonts w:ascii="宋体" w:hAnsi="宋体" w:eastAsia="宋体" w:cs="Arial"/>
          <w:kern w:val="0"/>
          <w:sz w:val="24"/>
        </w:rPr>
      </w:pPr>
      <w:r>
        <w:rPr>
          <w:rFonts w:hint="eastAsia" w:cs="Arial" w:asciiTheme="minorEastAsia" w:hAnsiTheme="minorEastAsia"/>
          <w:kern w:val="0"/>
          <w:sz w:val="24"/>
        </w:rPr>
        <w:t>政府专项债券政策明确要求，债券资金必须用于项目建设本身并形成实物资产，不得用于中央明令禁止的楼堂会馆建设和经常性支出，严禁用于发放工资、支付单位运营经费、发放养老金等，不得用于偿还债务，严禁将新增债券资金用于置换存量债务、用于企业注册资本金和补贴等。我们将充分了解政府专项债券资金的使用要求，依据相关的政策制定项目资金收支计划，依法合规使用债券资金。</w:t>
      </w:r>
    </w:p>
    <w:p w14:paraId="11224DCE">
      <w:pPr>
        <w:widowControl/>
        <w:spacing w:line="480" w:lineRule="auto"/>
        <w:rPr>
          <w:rFonts w:cs="Arial" w:asciiTheme="minorEastAsia" w:hAnsiTheme="minorEastAsia"/>
          <w:kern w:val="0"/>
          <w:sz w:val="24"/>
        </w:rPr>
      </w:pPr>
      <w:r>
        <w:rPr>
          <w:rFonts w:hint="eastAsia" w:cs="Arial" w:asciiTheme="minorEastAsia" w:hAnsiTheme="minorEastAsia"/>
          <w:kern w:val="0"/>
          <w:sz w:val="24"/>
        </w:rPr>
        <w:t>附件1：《政府专项债券事前绩效评估指标评分表》</w:t>
      </w:r>
    </w:p>
    <w:p w14:paraId="48123ADB">
      <w:pPr>
        <w:widowControl/>
        <w:spacing w:line="480" w:lineRule="auto"/>
        <w:rPr>
          <w:rFonts w:cs="Arial" w:asciiTheme="minorEastAsia" w:hAnsiTheme="minorEastAsia"/>
          <w:kern w:val="0"/>
          <w:sz w:val="24"/>
        </w:rPr>
      </w:pPr>
      <w:r>
        <w:rPr>
          <w:rFonts w:hint="eastAsia" w:cs="Arial" w:asciiTheme="minorEastAsia" w:hAnsiTheme="minorEastAsia"/>
          <w:kern w:val="0"/>
          <w:sz w:val="24"/>
        </w:rPr>
        <w:t>附件2：《项目事前绩效目标表》</w:t>
      </w:r>
    </w:p>
    <w:p w14:paraId="35221844">
      <w:pPr>
        <w:widowControl/>
        <w:spacing w:line="480" w:lineRule="auto"/>
        <w:ind w:right="480"/>
        <w:rPr>
          <w:rFonts w:cs="Arial" w:asciiTheme="minorEastAsia" w:hAnsiTheme="minorEastAsia"/>
          <w:kern w:val="0"/>
          <w:sz w:val="24"/>
        </w:rPr>
      </w:pPr>
    </w:p>
    <w:p w14:paraId="3B33252B">
      <w:pPr>
        <w:widowControl/>
        <w:spacing w:line="480" w:lineRule="auto"/>
        <w:ind w:right="480"/>
        <w:rPr>
          <w:rFonts w:cs="Arial" w:asciiTheme="minorEastAsia" w:hAnsiTheme="minorEastAsia"/>
          <w:kern w:val="0"/>
          <w:sz w:val="24"/>
        </w:rPr>
      </w:pPr>
    </w:p>
    <w:p w14:paraId="64C3EF15">
      <w:pPr>
        <w:widowControl/>
        <w:spacing w:line="480" w:lineRule="auto"/>
        <w:ind w:right="480"/>
        <w:jc w:val="right"/>
        <w:rPr>
          <w:rFonts w:cs="Arial" w:asciiTheme="minorEastAsia" w:hAnsiTheme="minorEastAsia"/>
          <w:kern w:val="0"/>
          <w:sz w:val="24"/>
        </w:rPr>
      </w:pPr>
      <w:r>
        <w:rPr>
          <w:rFonts w:hint="eastAsia" w:cs="Arial" w:asciiTheme="minorEastAsia" w:hAnsiTheme="minorEastAsia"/>
          <w:kern w:val="0"/>
          <w:sz w:val="24"/>
        </w:rPr>
        <w:t>山丹县聚鑫城投投资发展有限责任公司</w:t>
      </w:r>
    </w:p>
    <w:p w14:paraId="33A8D5A3">
      <w:pPr>
        <w:widowControl/>
        <w:spacing w:line="480" w:lineRule="auto"/>
        <w:ind w:right="1440"/>
        <w:jc w:val="center"/>
        <w:rPr>
          <w:rFonts w:cs="Arial" w:asciiTheme="minorEastAsia" w:hAnsiTheme="minorEastAsia"/>
          <w:kern w:val="0"/>
          <w:sz w:val="24"/>
        </w:rPr>
      </w:pPr>
      <w:r>
        <w:rPr>
          <w:rFonts w:hint="eastAsia" w:cs="Arial" w:asciiTheme="minorEastAsia" w:hAnsiTheme="minorEastAsia"/>
          <w:kern w:val="0"/>
          <w:sz w:val="24"/>
        </w:rPr>
        <w:t xml:space="preserve">                                     </w:t>
      </w:r>
      <w:r>
        <w:rPr>
          <w:rFonts w:cs="Arial" w:asciiTheme="minorEastAsia" w:hAnsiTheme="minorEastAsia"/>
          <w:kern w:val="0"/>
          <w:sz w:val="24"/>
        </w:rPr>
        <w:t>202</w:t>
      </w:r>
      <w:r>
        <w:rPr>
          <w:rFonts w:hint="eastAsia" w:cs="Arial" w:asciiTheme="minorEastAsia" w:hAnsiTheme="minorEastAsia"/>
          <w:kern w:val="0"/>
          <w:sz w:val="24"/>
          <w:lang w:val="en-US" w:eastAsia="zh-CN"/>
        </w:rPr>
        <w:t>4</w:t>
      </w:r>
      <w:r>
        <w:rPr>
          <w:rFonts w:hint="eastAsia" w:cs="Arial" w:asciiTheme="minorEastAsia" w:hAnsiTheme="minorEastAsia"/>
          <w:kern w:val="0"/>
          <w:sz w:val="24"/>
        </w:rPr>
        <w:t>年</w:t>
      </w:r>
      <w:r>
        <w:rPr>
          <w:rFonts w:hint="eastAsia" w:cs="Arial" w:asciiTheme="minorEastAsia" w:hAnsiTheme="minorEastAsia"/>
          <w:kern w:val="0"/>
          <w:sz w:val="24"/>
          <w:lang w:val="en-US" w:eastAsia="zh-CN"/>
        </w:rPr>
        <w:t>2</w:t>
      </w:r>
      <w:r>
        <w:rPr>
          <w:rFonts w:hint="eastAsia" w:cs="Arial" w:asciiTheme="minorEastAsia" w:hAnsiTheme="minorEastAsia"/>
          <w:kern w:val="0"/>
          <w:sz w:val="24"/>
        </w:rPr>
        <w:t>月</w:t>
      </w:r>
      <w:r>
        <w:rPr>
          <w:rFonts w:hint="eastAsia" w:cs="Arial" w:asciiTheme="minorEastAsia" w:hAnsiTheme="minorEastAsia"/>
          <w:kern w:val="0"/>
          <w:sz w:val="24"/>
          <w:lang w:val="en-US" w:eastAsia="zh-CN"/>
        </w:rPr>
        <w:t>18</w:t>
      </w:r>
      <w:r>
        <w:rPr>
          <w:rFonts w:hint="eastAsia" w:cs="Arial" w:asciiTheme="minorEastAsia" w:hAnsiTheme="minorEastAsia"/>
          <w:kern w:val="0"/>
          <w:sz w:val="24"/>
        </w:rPr>
        <w:t>日</w:t>
      </w:r>
    </w:p>
    <w:p w14:paraId="140BBDA9">
      <w:pPr>
        <w:rPr>
          <w:sz w:val="28"/>
          <w:szCs w:val="28"/>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6014852"/>
    </w:sdtPr>
    <w:sdtContent>
      <w:p w14:paraId="1106E18B">
        <w:pPr>
          <w:pStyle w:val="4"/>
          <w:jc w:val="center"/>
        </w:pPr>
        <w:r>
          <w:fldChar w:fldCharType="begin"/>
        </w:r>
        <w:r>
          <w:instrText xml:space="preserve">PAGE   \* MERGEFORMAT</w:instrText>
        </w:r>
        <w:r>
          <w:fldChar w:fldCharType="separate"/>
        </w:r>
        <w:r>
          <w:rPr>
            <w:lang w:val="zh-CN"/>
          </w:rPr>
          <w:t>3</w:t>
        </w:r>
        <w:r>
          <w:fldChar w:fldCharType="end"/>
        </w:r>
      </w:p>
    </w:sdtContent>
  </w:sdt>
  <w:p w14:paraId="5CC276C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33B6E"/>
    <w:multiLevelType w:val="singleLevel"/>
    <w:tmpl w:val="CDE33B6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ZTc1MzRhMTgyMTU1ZGI3YzczNTk3MmMxY2I3YmMifQ=="/>
  </w:docVars>
  <w:rsids>
    <w:rsidRoot w:val="00172A27"/>
    <w:rsid w:val="00003F37"/>
    <w:rsid w:val="00005A80"/>
    <w:rsid w:val="00012E89"/>
    <w:rsid w:val="00013EFB"/>
    <w:rsid w:val="00013F3F"/>
    <w:rsid w:val="00014F6F"/>
    <w:rsid w:val="0002208F"/>
    <w:rsid w:val="00022C9E"/>
    <w:rsid w:val="0002311E"/>
    <w:rsid w:val="000265AF"/>
    <w:rsid w:val="00031433"/>
    <w:rsid w:val="00035A4F"/>
    <w:rsid w:val="00037067"/>
    <w:rsid w:val="00041DFA"/>
    <w:rsid w:val="00051516"/>
    <w:rsid w:val="00057429"/>
    <w:rsid w:val="00060229"/>
    <w:rsid w:val="000614C2"/>
    <w:rsid w:val="00061603"/>
    <w:rsid w:val="00062CBA"/>
    <w:rsid w:val="00062D10"/>
    <w:rsid w:val="000631A4"/>
    <w:rsid w:val="000631AA"/>
    <w:rsid w:val="00070C76"/>
    <w:rsid w:val="000715E1"/>
    <w:rsid w:val="000727AA"/>
    <w:rsid w:val="00072FBD"/>
    <w:rsid w:val="00074A1E"/>
    <w:rsid w:val="000773C7"/>
    <w:rsid w:val="000779BA"/>
    <w:rsid w:val="0008045C"/>
    <w:rsid w:val="00082091"/>
    <w:rsid w:val="000821D0"/>
    <w:rsid w:val="00083A03"/>
    <w:rsid w:val="00087748"/>
    <w:rsid w:val="00087D6F"/>
    <w:rsid w:val="00090C05"/>
    <w:rsid w:val="00095751"/>
    <w:rsid w:val="00095B54"/>
    <w:rsid w:val="00096DFF"/>
    <w:rsid w:val="000A213C"/>
    <w:rsid w:val="000B1657"/>
    <w:rsid w:val="000B2E95"/>
    <w:rsid w:val="000B2E97"/>
    <w:rsid w:val="000B30EF"/>
    <w:rsid w:val="000B3AE9"/>
    <w:rsid w:val="000B44E8"/>
    <w:rsid w:val="000B5C58"/>
    <w:rsid w:val="000C00B3"/>
    <w:rsid w:val="000C6A7A"/>
    <w:rsid w:val="000C7F3F"/>
    <w:rsid w:val="000D4983"/>
    <w:rsid w:val="000D551D"/>
    <w:rsid w:val="000D7012"/>
    <w:rsid w:val="000E542D"/>
    <w:rsid w:val="000E7B80"/>
    <w:rsid w:val="000F00C6"/>
    <w:rsid w:val="000F1C42"/>
    <w:rsid w:val="000F2ABE"/>
    <w:rsid w:val="000F3995"/>
    <w:rsid w:val="000F55CB"/>
    <w:rsid w:val="000F67CC"/>
    <w:rsid w:val="000F6E75"/>
    <w:rsid w:val="0010101C"/>
    <w:rsid w:val="0010127C"/>
    <w:rsid w:val="00103375"/>
    <w:rsid w:val="00103FDD"/>
    <w:rsid w:val="00105BA5"/>
    <w:rsid w:val="001123DE"/>
    <w:rsid w:val="00114B3E"/>
    <w:rsid w:val="00117E57"/>
    <w:rsid w:val="00122F0B"/>
    <w:rsid w:val="001247DD"/>
    <w:rsid w:val="00126F5D"/>
    <w:rsid w:val="00137898"/>
    <w:rsid w:val="00142E08"/>
    <w:rsid w:val="00144E10"/>
    <w:rsid w:val="00146956"/>
    <w:rsid w:val="0015019C"/>
    <w:rsid w:val="001533B8"/>
    <w:rsid w:val="00153C34"/>
    <w:rsid w:val="00160759"/>
    <w:rsid w:val="00165278"/>
    <w:rsid w:val="00172A27"/>
    <w:rsid w:val="00176362"/>
    <w:rsid w:val="001858A2"/>
    <w:rsid w:val="00185A67"/>
    <w:rsid w:val="00185C5C"/>
    <w:rsid w:val="0019202F"/>
    <w:rsid w:val="001937EC"/>
    <w:rsid w:val="00196394"/>
    <w:rsid w:val="00196F34"/>
    <w:rsid w:val="001979FB"/>
    <w:rsid w:val="001A0AC1"/>
    <w:rsid w:val="001A2198"/>
    <w:rsid w:val="001A55B4"/>
    <w:rsid w:val="001A56FF"/>
    <w:rsid w:val="001A5C2E"/>
    <w:rsid w:val="001A69E8"/>
    <w:rsid w:val="001C2122"/>
    <w:rsid w:val="001C7216"/>
    <w:rsid w:val="001D35D6"/>
    <w:rsid w:val="001D5ACC"/>
    <w:rsid w:val="001D6FC6"/>
    <w:rsid w:val="001E057D"/>
    <w:rsid w:val="001E1F1B"/>
    <w:rsid w:val="001E3E58"/>
    <w:rsid w:val="001F5288"/>
    <w:rsid w:val="001F52F9"/>
    <w:rsid w:val="001F5488"/>
    <w:rsid w:val="001F7E49"/>
    <w:rsid w:val="002005E4"/>
    <w:rsid w:val="00201121"/>
    <w:rsid w:val="00205E72"/>
    <w:rsid w:val="002123D6"/>
    <w:rsid w:val="00221017"/>
    <w:rsid w:val="0022159B"/>
    <w:rsid w:val="002257B6"/>
    <w:rsid w:val="00231B48"/>
    <w:rsid w:val="00245E99"/>
    <w:rsid w:val="00250C41"/>
    <w:rsid w:val="00253FD1"/>
    <w:rsid w:val="00254341"/>
    <w:rsid w:val="00254DE4"/>
    <w:rsid w:val="00266AF7"/>
    <w:rsid w:val="00270417"/>
    <w:rsid w:val="00273C2F"/>
    <w:rsid w:val="002816FB"/>
    <w:rsid w:val="0028180D"/>
    <w:rsid w:val="00292361"/>
    <w:rsid w:val="00292649"/>
    <w:rsid w:val="0029649E"/>
    <w:rsid w:val="00297C0A"/>
    <w:rsid w:val="002A038C"/>
    <w:rsid w:val="002A0E59"/>
    <w:rsid w:val="002A3559"/>
    <w:rsid w:val="002A4138"/>
    <w:rsid w:val="002B2A0E"/>
    <w:rsid w:val="002B495D"/>
    <w:rsid w:val="002C4FA4"/>
    <w:rsid w:val="002C6024"/>
    <w:rsid w:val="002C6952"/>
    <w:rsid w:val="002D17D6"/>
    <w:rsid w:val="002D2E71"/>
    <w:rsid w:val="002D48EC"/>
    <w:rsid w:val="002D4DFE"/>
    <w:rsid w:val="002E4842"/>
    <w:rsid w:val="002E56A0"/>
    <w:rsid w:val="002E664A"/>
    <w:rsid w:val="002F1EA6"/>
    <w:rsid w:val="002F35F3"/>
    <w:rsid w:val="002F4577"/>
    <w:rsid w:val="003009D7"/>
    <w:rsid w:val="003018D3"/>
    <w:rsid w:val="00305D8A"/>
    <w:rsid w:val="003071AA"/>
    <w:rsid w:val="00310A35"/>
    <w:rsid w:val="00316794"/>
    <w:rsid w:val="00317A70"/>
    <w:rsid w:val="003243CE"/>
    <w:rsid w:val="00325A8E"/>
    <w:rsid w:val="00327CE2"/>
    <w:rsid w:val="0033339B"/>
    <w:rsid w:val="0033341F"/>
    <w:rsid w:val="00334333"/>
    <w:rsid w:val="00336E84"/>
    <w:rsid w:val="003407B9"/>
    <w:rsid w:val="00340866"/>
    <w:rsid w:val="00342375"/>
    <w:rsid w:val="0034352D"/>
    <w:rsid w:val="00343F57"/>
    <w:rsid w:val="00351988"/>
    <w:rsid w:val="00351F54"/>
    <w:rsid w:val="003527C0"/>
    <w:rsid w:val="00355465"/>
    <w:rsid w:val="00365EB6"/>
    <w:rsid w:val="0037122C"/>
    <w:rsid w:val="00376C88"/>
    <w:rsid w:val="0038191D"/>
    <w:rsid w:val="0038477D"/>
    <w:rsid w:val="003909B3"/>
    <w:rsid w:val="00393A33"/>
    <w:rsid w:val="003A0154"/>
    <w:rsid w:val="003A5743"/>
    <w:rsid w:val="003B2BBF"/>
    <w:rsid w:val="003B312E"/>
    <w:rsid w:val="003B428A"/>
    <w:rsid w:val="003B4795"/>
    <w:rsid w:val="003C00C2"/>
    <w:rsid w:val="003C30F6"/>
    <w:rsid w:val="003C56A5"/>
    <w:rsid w:val="003C63F1"/>
    <w:rsid w:val="003C6B8E"/>
    <w:rsid w:val="003C766C"/>
    <w:rsid w:val="003D1447"/>
    <w:rsid w:val="003D6EFE"/>
    <w:rsid w:val="003D7459"/>
    <w:rsid w:val="003E2862"/>
    <w:rsid w:val="003E42DD"/>
    <w:rsid w:val="003E5DCF"/>
    <w:rsid w:val="003F050B"/>
    <w:rsid w:val="003F0B06"/>
    <w:rsid w:val="003F3475"/>
    <w:rsid w:val="003F3EC8"/>
    <w:rsid w:val="003F45FD"/>
    <w:rsid w:val="003F5F8C"/>
    <w:rsid w:val="00406E4A"/>
    <w:rsid w:val="00407260"/>
    <w:rsid w:val="0041203F"/>
    <w:rsid w:val="00420CE8"/>
    <w:rsid w:val="00427BC8"/>
    <w:rsid w:val="00431D54"/>
    <w:rsid w:val="00434BDC"/>
    <w:rsid w:val="004360DD"/>
    <w:rsid w:val="0044316F"/>
    <w:rsid w:val="00444B7F"/>
    <w:rsid w:val="00446A53"/>
    <w:rsid w:val="00454FAF"/>
    <w:rsid w:val="00455F7F"/>
    <w:rsid w:val="00462306"/>
    <w:rsid w:val="00463090"/>
    <w:rsid w:val="0046446B"/>
    <w:rsid w:val="00465117"/>
    <w:rsid w:val="004669A6"/>
    <w:rsid w:val="0047053D"/>
    <w:rsid w:val="00470AFD"/>
    <w:rsid w:val="00473109"/>
    <w:rsid w:val="0047571E"/>
    <w:rsid w:val="00477D5C"/>
    <w:rsid w:val="00483A47"/>
    <w:rsid w:val="00486FA1"/>
    <w:rsid w:val="004915EF"/>
    <w:rsid w:val="00491804"/>
    <w:rsid w:val="00494B94"/>
    <w:rsid w:val="0049654F"/>
    <w:rsid w:val="004A7F0C"/>
    <w:rsid w:val="004B029F"/>
    <w:rsid w:val="004B2A51"/>
    <w:rsid w:val="004B7246"/>
    <w:rsid w:val="004B7934"/>
    <w:rsid w:val="004D1921"/>
    <w:rsid w:val="004D5C92"/>
    <w:rsid w:val="004E00AF"/>
    <w:rsid w:val="004E206C"/>
    <w:rsid w:val="004E4D83"/>
    <w:rsid w:val="004E5653"/>
    <w:rsid w:val="004F05A1"/>
    <w:rsid w:val="004F1399"/>
    <w:rsid w:val="004F5FEA"/>
    <w:rsid w:val="00501F14"/>
    <w:rsid w:val="005027BD"/>
    <w:rsid w:val="0050449F"/>
    <w:rsid w:val="005120CE"/>
    <w:rsid w:val="00512A25"/>
    <w:rsid w:val="005141DB"/>
    <w:rsid w:val="00526863"/>
    <w:rsid w:val="00526C3D"/>
    <w:rsid w:val="005303E2"/>
    <w:rsid w:val="00533FF5"/>
    <w:rsid w:val="005370E0"/>
    <w:rsid w:val="00540E13"/>
    <w:rsid w:val="00546745"/>
    <w:rsid w:val="00546D63"/>
    <w:rsid w:val="0054776C"/>
    <w:rsid w:val="00547F67"/>
    <w:rsid w:val="00552539"/>
    <w:rsid w:val="00552DA6"/>
    <w:rsid w:val="00557483"/>
    <w:rsid w:val="00564B02"/>
    <w:rsid w:val="0056727A"/>
    <w:rsid w:val="005675C4"/>
    <w:rsid w:val="00570749"/>
    <w:rsid w:val="00570FCC"/>
    <w:rsid w:val="00571C8A"/>
    <w:rsid w:val="00573C06"/>
    <w:rsid w:val="0057514A"/>
    <w:rsid w:val="0058068D"/>
    <w:rsid w:val="00581231"/>
    <w:rsid w:val="0058220A"/>
    <w:rsid w:val="005827DF"/>
    <w:rsid w:val="005837A8"/>
    <w:rsid w:val="00587E37"/>
    <w:rsid w:val="005903E8"/>
    <w:rsid w:val="005920E1"/>
    <w:rsid w:val="00592921"/>
    <w:rsid w:val="00594582"/>
    <w:rsid w:val="00595555"/>
    <w:rsid w:val="005958EE"/>
    <w:rsid w:val="005A08C3"/>
    <w:rsid w:val="005A5FA2"/>
    <w:rsid w:val="005A5FCC"/>
    <w:rsid w:val="005B08EB"/>
    <w:rsid w:val="005B2AF9"/>
    <w:rsid w:val="005B58DD"/>
    <w:rsid w:val="005B6AC0"/>
    <w:rsid w:val="005C378D"/>
    <w:rsid w:val="005C42CE"/>
    <w:rsid w:val="005C668D"/>
    <w:rsid w:val="005C7284"/>
    <w:rsid w:val="005D229A"/>
    <w:rsid w:val="005D7BC6"/>
    <w:rsid w:val="005E3DB8"/>
    <w:rsid w:val="005E6CCA"/>
    <w:rsid w:val="005F4A6D"/>
    <w:rsid w:val="005F4DC9"/>
    <w:rsid w:val="005F6695"/>
    <w:rsid w:val="006027B3"/>
    <w:rsid w:val="0060479E"/>
    <w:rsid w:val="006069CD"/>
    <w:rsid w:val="006111A8"/>
    <w:rsid w:val="0061151A"/>
    <w:rsid w:val="00613A26"/>
    <w:rsid w:val="0061414D"/>
    <w:rsid w:val="0062366F"/>
    <w:rsid w:val="0062395B"/>
    <w:rsid w:val="006261AE"/>
    <w:rsid w:val="0062693F"/>
    <w:rsid w:val="00626C89"/>
    <w:rsid w:val="00626F45"/>
    <w:rsid w:val="0063032E"/>
    <w:rsid w:val="00642023"/>
    <w:rsid w:val="00643CD8"/>
    <w:rsid w:val="00643D29"/>
    <w:rsid w:val="006440BE"/>
    <w:rsid w:val="0064731A"/>
    <w:rsid w:val="00647C88"/>
    <w:rsid w:val="006514C3"/>
    <w:rsid w:val="00652007"/>
    <w:rsid w:val="006545EF"/>
    <w:rsid w:val="00657B38"/>
    <w:rsid w:val="006602D4"/>
    <w:rsid w:val="0066432E"/>
    <w:rsid w:val="00664D81"/>
    <w:rsid w:val="00667E7C"/>
    <w:rsid w:val="006730A6"/>
    <w:rsid w:val="006808A0"/>
    <w:rsid w:val="00680A4E"/>
    <w:rsid w:val="006827E1"/>
    <w:rsid w:val="0068440D"/>
    <w:rsid w:val="00692A02"/>
    <w:rsid w:val="006A222F"/>
    <w:rsid w:val="006A3E44"/>
    <w:rsid w:val="006A3FEC"/>
    <w:rsid w:val="006A4BAD"/>
    <w:rsid w:val="006A5533"/>
    <w:rsid w:val="006A7B25"/>
    <w:rsid w:val="006B071D"/>
    <w:rsid w:val="006B44B2"/>
    <w:rsid w:val="006C2378"/>
    <w:rsid w:val="006C3D71"/>
    <w:rsid w:val="006C4CD0"/>
    <w:rsid w:val="006C5971"/>
    <w:rsid w:val="006C6411"/>
    <w:rsid w:val="006D2735"/>
    <w:rsid w:val="006D3688"/>
    <w:rsid w:val="006D4B1A"/>
    <w:rsid w:val="006D6B7D"/>
    <w:rsid w:val="006E3B5A"/>
    <w:rsid w:val="006E4B35"/>
    <w:rsid w:val="006E5B96"/>
    <w:rsid w:val="006E79C8"/>
    <w:rsid w:val="006F1611"/>
    <w:rsid w:val="00703D98"/>
    <w:rsid w:val="00706F70"/>
    <w:rsid w:val="00713802"/>
    <w:rsid w:val="00715065"/>
    <w:rsid w:val="00715703"/>
    <w:rsid w:val="007218FA"/>
    <w:rsid w:val="00723AC8"/>
    <w:rsid w:val="00723CF1"/>
    <w:rsid w:val="00723EBA"/>
    <w:rsid w:val="007248F2"/>
    <w:rsid w:val="00725CD8"/>
    <w:rsid w:val="00730B53"/>
    <w:rsid w:val="00731BF9"/>
    <w:rsid w:val="00732566"/>
    <w:rsid w:val="007338EF"/>
    <w:rsid w:val="00737015"/>
    <w:rsid w:val="00740560"/>
    <w:rsid w:val="00741DD5"/>
    <w:rsid w:val="0074406B"/>
    <w:rsid w:val="007450ED"/>
    <w:rsid w:val="0074619B"/>
    <w:rsid w:val="00747709"/>
    <w:rsid w:val="00751C77"/>
    <w:rsid w:val="00751E3E"/>
    <w:rsid w:val="00755873"/>
    <w:rsid w:val="00755B77"/>
    <w:rsid w:val="00756AF7"/>
    <w:rsid w:val="007612DE"/>
    <w:rsid w:val="00766BE9"/>
    <w:rsid w:val="00766F23"/>
    <w:rsid w:val="00770702"/>
    <w:rsid w:val="00780B02"/>
    <w:rsid w:val="007818C1"/>
    <w:rsid w:val="007822DE"/>
    <w:rsid w:val="00786B06"/>
    <w:rsid w:val="007951FA"/>
    <w:rsid w:val="00796169"/>
    <w:rsid w:val="00796F64"/>
    <w:rsid w:val="007A292F"/>
    <w:rsid w:val="007A3FA6"/>
    <w:rsid w:val="007A48FA"/>
    <w:rsid w:val="007A49B0"/>
    <w:rsid w:val="007A7BE0"/>
    <w:rsid w:val="007B0081"/>
    <w:rsid w:val="007B1E4B"/>
    <w:rsid w:val="007B475F"/>
    <w:rsid w:val="007B6DFA"/>
    <w:rsid w:val="007C4541"/>
    <w:rsid w:val="007C6339"/>
    <w:rsid w:val="007D1DB1"/>
    <w:rsid w:val="007D5AA5"/>
    <w:rsid w:val="007D63A2"/>
    <w:rsid w:val="007D6656"/>
    <w:rsid w:val="007E0120"/>
    <w:rsid w:val="007E3A4F"/>
    <w:rsid w:val="007E52D9"/>
    <w:rsid w:val="007F0E73"/>
    <w:rsid w:val="007F2DE4"/>
    <w:rsid w:val="007F35CF"/>
    <w:rsid w:val="007F3977"/>
    <w:rsid w:val="007F56B1"/>
    <w:rsid w:val="007F72C9"/>
    <w:rsid w:val="007F7862"/>
    <w:rsid w:val="0080006E"/>
    <w:rsid w:val="008009A1"/>
    <w:rsid w:val="00802214"/>
    <w:rsid w:val="0080268B"/>
    <w:rsid w:val="008100F9"/>
    <w:rsid w:val="00815793"/>
    <w:rsid w:val="008166B4"/>
    <w:rsid w:val="00825CE7"/>
    <w:rsid w:val="00832050"/>
    <w:rsid w:val="00833963"/>
    <w:rsid w:val="00834D53"/>
    <w:rsid w:val="008366D1"/>
    <w:rsid w:val="0084234B"/>
    <w:rsid w:val="0084248D"/>
    <w:rsid w:val="00845A93"/>
    <w:rsid w:val="0085129A"/>
    <w:rsid w:val="00853365"/>
    <w:rsid w:val="00855869"/>
    <w:rsid w:val="00856DB4"/>
    <w:rsid w:val="00861095"/>
    <w:rsid w:val="008655D0"/>
    <w:rsid w:val="00873E8B"/>
    <w:rsid w:val="00874780"/>
    <w:rsid w:val="0087586F"/>
    <w:rsid w:val="008766F7"/>
    <w:rsid w:val="008800A3"/>
    <w:rsid w:val="0088096B"/>
    <w:rsid w:val="00893A99"/>
    <w:rsid w:val="00894383"/>
    <w:rsid w:val="00894BFD"/>
    <w:rsid w:val="008A6BA7"/>
    <w:rsid w:val="008B26EE"/>
    <w:rsid w:val="008B42FC"/>
    <w:rsid w:val="008B436E"/>
    <w:rsid w:val="008B6594"/>
    <w:rsid w:val="008C0FEE"/>
    <w:rsid w:val="008C4179"/>
    <w:rsid w:val="008C5168"/>
    <w:rsid w:val="008C5A4A"/>
    <w:rsid w:val="008C670D"/>
    <w:rsid w:val="008C7490"/>
    <w:rsid w:val="008D3491"/>
    <w:rsid w:val="008D3C91"/>
    <w:rsid w:val="008D3F9B"/>
    <w:rsid w:val="008D6E2E"/>
    <w:rsid w:val="008E3378"/>
    <w:rsid w:val="008F14BE"/>
    <w:rsid w:val="008F1AF9"/>
    <w:rsid w:val="008F2A25"/>
    <w:rsid w:val="008F408C"/>
    <w:rsid w:val="00900EDA"/>
    <w:rsid w:val="0090166C"/>
    <w:rsid w:val="009025A6"/>
    <w:rsid w:val="009031DF"/>
    <w:rsid w:val="0090646F"/>
    <w:rsid w:val="009101DC"/>
    <w:rsid w:val="00913A0F"/>
    <w:rsid w:val="009155A3"/>
    <w:rsid w:val="0091791C"/>
    <w:rsid w:val="00927226"/>
    <w:rsid w:val="0093091A"/>
    <w:rsid w:val="00932110"/>
    <w:rsid w:val="00933D9A"/>
    <w:rsid w:val="009376EA"/>
    <w:rsid w:val="00943553"/>
    <w:rsid w:val="0094632C"/>
    <w:rsid w:val="00947509"/>
    <w:rsid w:val="009506A4"/>
    <w:rsid w:val="00953A97"/>
    <w:rsid w:val="00957AF5"/>
    <w:rsid w:val="009659A1"/>
    <w:rsid w:val="0096792B"/>
    <w:rsid w:val="00971A58"/>
    <w:rsid w:val="00972A1C"/>
    <w:rsid w:val="0097669E"/>
    <w:rsid w:val="00980612"/>
    <w:rsid w:val="009808F9"/>
    <w:rsid w:val="00993B68"/>
    <w:rsid w:val="00995D73"/>
    <w:rsid w:val="009A133B"/>
    <w:rsid w:val="009A1A33"/>
    <w:rsid w:val="009A5ABD"/>
    <w:rsid w:val="009B0956"/>
    <w:rsid w:val="009B3176"/>
    <w:rsid w:val="009B32A0"/>
    <w:rsid w:val="009B3924"/>
    <w:rsid w:val="009B446D"/>
    <w:rsid w:val="009B631A"/>
    <w:rsid w:val="009B7D4C"/>
    <w:rsid w:val="009B7E05"/>
    <w:rsid w:val="009C2AF8"/>
    <w:rsid w:val="009C50BF"/>
    <w:rsid w:val="009C57DB"/>
    <w:rsid w:val="009C73BA"/>
    <w:rsid w:val="009C7D45"/>
    <w:rsid w:val="009D22D1"/>
    <w:rsid w:val="009D79E4"/>
    <w:rsid w:val="009E240C"/>
    <w:rsid w:val="009E2DEF"/>
    <w:rsid w:val="009E5D0B"/>
    <w:rsid w:val="009F7559"/>
    <w:rsid w:val="00A01E12"/>
    <w:rsid w:val="00A03567"/>
    <w:rsid w:val="00A1143A"/>
    <w:rsid w:val="00A1302C"/>
    <w:rsid w:val="00A13ADC"/>
    <w:rsid w:val="00A15794"/>
    <w:rsid w:val="00A21168"/>
    <w:rsid w:val="00A259B6"/>
    <w:rsid w:val="00A25E6B"/>
    <w:rsid w:val="00A30359"/>
    <w:rsid w:val="00A308AD"/>
    <w:rsid w:val="00A31130"/>
    <w:rsid w:val="00A3423F"/>
    <w:rsid w:val="00A36AE7"/>
    <w:rsid w:val="00A400F4"/>
    <w:rsid w:val="00A43664"/>
    <w:rsid w:val="00A51425"/>
    <w:rsid w:val="00A51A48"/>
    <w:rsid w:val="00A54D19"/>
    <w:rsid w:val="00A553D5"/>
    <w:rsid w:val="00A57CB5"/>
    <w:rsid w:val="00A644B5"/>
    <w:rsid w:val="00A64A7F"/>
    <w:rsid w:val="00A727D5"/>
    <w:rsid w:val="00A834C8"/>
    <w:rsid w:val="00A922B9"/>
    <w:rsid w:val="00A9368C"/>
    <w:rsid w:val="00A9607F"/>
    <w:rsid w:val="00AA7D6F"/>
    <w:rsid w:val="00AB183E"/>
    <w:rsid w:val="00AB35BF"/>
    <w:rsid w:val="00AB4846"/>
    <w:rsid w:val="00AB51BA"/>
    <w:rsid w:val="00AC0100"/>
    <w:rsid w:val="00AC2F80"/>
    <w:rsid w:val="00AC3D90"/>
    <w:rsid w:val="00AC4856"/>
    <w:rsid w:val="00AC5800"/>
    <w:rsid w:val="00AC6C6B"/>
    <w:rsid w:val="00AD2702"/>
    <w:rsid w:val="00AE0329"/>
    <w:rsid w:val="00AE3FE4"/>
    <w:rsid w:val="00AF53E3"/>
    <w:rsid w:val="00AF67B4"/>
    <w:rsid w:val="00B0184B"/>
    <w:rsid w:val="00B03694"/>
    <w:rsid w:val="00B06BD4"/>
    <w:rsid w:val="00B07477"/>
    <w:rsid w:val="00B10918"/>
    <w:rsid w:val="00B15037"/>
    <w:rsid w:val="00B2027E"/>
    <w:rsid w:val="00B204A0"/>
    <w:rsid w:val="00B235D9"/>
    <w:rsid w:val="00B25B3D"/>
    <w:rsid w:val="00B278C6"/>
    <w:rsid w:val="00B27D0C"/>
    <w:rsid w:val="00B27FA1"/>
    <w:rsid w:val="00B3314C"/>
    <w:rsid w:val="00B41FA8"/>
    <w:rsid w:val="00B441EF"/>
    <w:rsid w:val="00B44AFD"/>
    <w:rsid w:val="00B51510"/>
    <w:rsid w:val="00B54218"/>
    <w:rsid w:val="00B54C82"/>
    <w:rsid w:val="00B54E50"/>
    <w:rsid w:val="00B557F4"/>
    <w:rsid w:val="00B5706A"/>
    <w:rsid w:val="00B6095E"/>
    <w:rsid w:val="00B61897"/>
    <w:rsid w:val="00B63872"/>
    <w:rsid w:val="00B66B14"/>
    <w:rsid w:val="00B70154"/>
    <w:rsid w:val="00B70821"/>
    <w:rsid w:val="00B70A8D"/>
    <w:rsid w:val="00B7702E"/>
    <w:rsid w:val="00B850D3"/>
    <w:rsid w:val="00B87DC0"/>
    <w:rsid w:val="00B92ECD"/>
    <w:rsid w:val="00B935FD"/>
    <w:rsid w:val="00B96873"/>
    <w:rsid w:val="00BA0619"/>
    <w:rsid w:val="00BA07B8"/>
    <w:rsid w:val="00BA1A37"/>
    <w:rsid w:val="00BA308E"/>
    <w:rsid w:val="00BA3285"/>
    <w:rsid w:val="00BA4DDE"/>
    <w:rsid w:val="00BA51FD"/>
    <w:rsid w:val="00BA63B1"/>
    <w:rsid w:val="00BB06CD"/>
    <w:rsid w:val="00BB2794"/>
    <w:rsid w:val="00BB2F2B"/>
    <w:rsid w:val="00BC0C30"/>
    <w:rsid w:val="00BC25FB"/>
    <w:rsid w:val="00BC749F"/>
    <w:rsid w:val="00BC75F7"/>
    <w:rsid w:val="00BD07FC"/>
    <w:rsid w:val="00BD4CD0"/>
    <w:rsid w:val="00BD5D99"/>
    <w:rsid w:val="00BD6F65"/>
    <w:rsid w:val="00BD78A8"/>
    <w:rsid w:val="00BE2BDE"/>
    <w:rsid w:val="00BF0E3B"/>
    <w:rsid w:val="00BF166C"/>
    <w:rsid w:val="00BF1A3D"/>
    <w:rsid w:val="00BF2981"/>
    <w:rsid w:val="00BF3EBE"/>
    <w:rsid w:val="00BF4D32"/>
    <w:rsid w:val="00C00436"/>
    <w:rsid w:val="00C00CAE"/>
    <w:rsid w:val="00C02EE6"/>
    <w:rsid w:val="00C0457C"/>
    <w:rsid w:val="00C06098"/>
    <w:rsid w:val="00C11CD8"/>
    <w:rsid w:val="00C2153C"/>
    <w:rsid w:val="00C237D1"/>
    <w:rsid w:val="00C23C2D"/>
    <w:rsid w:val="00C31D69"/>
    <w:rsid w:val="00C33C27"/>
    <w:rsid w:val="00C34DE5"/>
    <w:rsid w:val="00C41CC4"/>
    <w:rsid w:val="00C437E9"/>
    <w:rsid w:val="00C442C6"/>
    <w:rsid w:val="00C44462"/>
    <w:rsid w:val="00C44570"/>
    <w:rsid w:val="00C476E3"/>
    <w:rsid w:val="00C5170C"/>
    <w:rsid w:val="00C524D0"/>
    <w:rsid w:val="00C55577"/>
    <w:rsid w:val="00C65636"/>
    <w:rsid w:val="00C7013E"/>
    <w:rsid w:val="00C70BB0"/>
    <w:rsid w:val="00C90C7A"/>
    <w:rsid w:val="00C939FB"/>
    <w:rsid w:val="00C958CF"/>
    <w:rsid w:val="00C95D59"/>
    <w:rsid w:val="00C961A0"/>
    <w:rsid w:val="00C963C8"/>
    <w:rsid w:val="00C964B2"/>
    <w:rsid w:val="00C9759A"/>
    <w:rsid w:val="00CA0658"/>
    <w:rsid w:val="00CA17A3"/>
    <w:rsid w:val="00CA5861"/>
    <w:rsid w:val="00CA6A9D"/>
    <w:rsid w:val="00CB1610"/>
    <w:rsid w:val="00CB1A0E"/>
    <w:rsid w:val="00CB1C07"/>
    <w:rsid w:val="00CC12D3"/>
    <w:rsid w:val="00CC4F79"/>
    <w:rsid w:val="00CD0698"/>
    <w:rsid w:val="00CD48C6"/>
    <w:rsid w:val="00CE30BA"/>
    <w:rsid w:val="00CE746A"/>
    <w:rsid w:val="00CE77C1"/>
    <w:rsid w:val="00CF3068"/>
    <w:rsid w:val="00CF7248"/>
    <w:rsid w:val="00D00431"/>
    <w:rsid w:val="00D00A76"/>
    <w:rsid w:val="00D012DA"/>
    <w:rsid w:val="00D01F63"/>
    <w:rsid w:val="00D0408B"/>
    <w:rsid w:val="00D054CD"/>
    <w:rsid w:val="00D06037"/>
    <w:rsid w:val="00D1551A"/>
    <w:rsid w:val="00D159DD"/>
    <w:rsid w:val="00D160CB"/>
    <w:rsid w:val="00D173C3"/>
    <w:rsid w:val="00D21534"/>
    <w:rsid w:val="00D21B9A"/>
    <w:rsid w:val="00D21F7B"/>
    <w:rsid w:val="00D25083"/>
    <w:rsid w:val="00D3171E"/>
    <w:rsid w:val="00D346F8"/>
    <w:rsid w:val="00D3481A"/>
    <w:rsid w:val="00D34D4C"/>
    <w:rsid w:val="00D350CD"/>
    <w:rsid w:val="00D35AE0"/>
    <w:rsid w:val="00D35E0D"/>
    <w:rsid w:val="00D36838"/>
    <w:rsid w:val="00D40515"/>
    <w:rsid w:val="00D41DF3"/>
    <w:rsid w:val="00D428C4"/>
    <w:rsid w:val="00D438EB"/>
    <w:rsid w:val="00D44B94"/>
    <w:rsid w:val="00D44C5B"/>
    <w:rsid w:val="00D46F41"/>
    <w:rsid w:val="00D51779"/>
    <w:rsid w:val="00D536AF"/>
    <w:rsid w:val="00D61218"/>
    <w:rsid w:val="00D65C7E"/>
    <w:rsid w:val="00D70395"/>
    <w:rsid w:val="00D8259A"/>
    <w:rsid w:val="00D83AB9"/>
    <w:rsid w:val="00D91D63"/>
    <w:rsid w:val="00D95EA3"/>
    <w:rsid w:val="00D96D58"/>
    <w:rsid w:val="00D96F21"/>
    <w:rsid w:val="00DA42EC"/>
    <w:rsid w:val="00DA4D5A"/>
    <w:rsid w:val="00DA59CB"/>
    <w:rsid w:val="00DA7AAC"/>
    <w:rsid w:val="00DB1873"/>
    <w:rsid w:val="00DB2F5C"/>
    <w:rsid w:val="00DB48A1"/>
    <w:rsid w:val="00DB64DF"/>
    <w:rsid w:val="00DB747A"/>
    <w:rsid w:val="00DC098B"/>
    <w:rsid w:val="00DC2A79"/>
    <w:rsid w:val="00DC43E8"/>
    <w:rsid w:val="00DC62AA"/>
    <w:rsid w:val="00DC65F4"/>
    <w:rsid w:val="00DD5EDD"/>
    <w:rsid w:val="00DE059A"/>
    <w:rsid w:val="00DE5CF3"/>
    <w:rsid w:val="00DE7A40"/>
    <w:rsid w:val="00DF1FE0"/>
    <w:rsid w:val="00DF7750"/>
    <w:rsid w:val="00E01F73"/>
    <w:rsid w:val="00E0449B"/>
    <w:rsid w:val="00E12EA5"/>
    <w:rsid w:val="00E13CDA"/>
    <w:rsid w:val="00E14366"/>
    <w:rsid w:val="00E16DB2"/>
    <w:rsid w:val="00E174D9"/>
    <w:rsid w:val="00E17FB7"/>
    <w:rsid w:val="00E20082"/>
    <w:rsid w:val="00E215C5"/>
    <w:rsid w:val="00E22261"/>
    <w:rsid w:val="00E234A2"/>
    <w:rsid w:val="00E23880"/>
    <w:rsid w:val="00E23EF4"/>
    <w:rsid w:val="00E257ED"/>
    <w:rsid w:val="00E35C37"/>
    <w:rsid w:val="00E362A1"/>
    <w:rsid w:val="00E363B6"/>
    <w:rsid w:val="00E36702"/>
    <w:rsid w:val="00E406B2"/>
    <w:rsid w:val="00E53EF3"/>
    <w:rsid w:val="00E55973"/>
    <w:rsid w:val="00E60053"/>
    <w:rsid w:val="00E62D9D"/>
    <w:rsid w:val="00E6640A"/>
    <w:rsid w:val="00E6777B"/>
    <w:rsid w:val="00E70980"/>
    <w:rsid w:val="00E716A3"/>
    <w:rsid w:val="00E75A0A"/>
    <w:rsid w:val="00E80564"/>
    <w:rsid w:val="00E867E1"/>
    <w:rsid w:val="00E90C6F"/>
    <w:rsid w:val="00E95991"/>
    <w:rsid w:val="00EA1455"/>
    <w:rsid w:val="00EA423D"/>
    <w:rsid w:val="00EA71B8"/>
    <w:rsid w:val="00EB5D81"/>
    <w:rsid w:val="00EC1B4F"/>
    <w:rsid w:val="00EC5113"/>
    <w:rsid w:val="00EC7F7A"/>
    <w:rsid w:val="00ED20E8"/>
    <w:rsid w:val="00ED3041"/>
    <w:rsid w:val="00ED4C54"/>
    <w:rsid w:val="00ED5084"/>
    <w:rsid w:val="00ED5E1F"/>
    <w:rsid w:val="00ED66D5"/>
    <w:rsid w:val="00EE1EAD"/>
    <w:rsid w:val="00EF2B21"/>
    <w:rsid w:val="00EF2DAD"/>
    <w:rsid w:val="00EF7016"/>
    <w:rsid w:val="00F02590"/>
    <w:rsid w:val="00F02AE0"/>
    <w:rsid w:val="00F06480"/>
    <w:rsid w:val="00F0783C"/>
    <w:rsid w:val="00F12360"/>
    <w:rsid w:val="00F129C0"/>
    <w:rsid w:val="00F138FF"/>
    <w:rsid w:val="00F1672D"/>
    <w:rsid w:val="00F20BA2"/>
    <w:rsid w:val="00F246DD"/>
    <w:rsid w:val="00F26AD0"/>
    <w:rsid w:val="00F27DC3"/>
    <w:rsid w:val="00F31091"/>
    <w:rsid w:val="00F333C8"/>
    <w:rsid w:val="00F35B8F"/>
    <w:rsid w:val="00F367D1"/>
    <w:rsid w:val="00F418C0"/>
    <w:rsid w:val="00F421B3"/>
    <w:rsid w:val="00F46136"/>
    <w:rsid w:val="00F53B95"/>
    <w:rsid w:val="00F53EC8"/>
    <w:rsid w:val="00F66079"/>
    <w:rsid w:val="00F7024A"/>
    <w:rsid w:val="00F71DC1"/>
    <w:rsid w:val="00F73C49"/>
    <w:rsid w:val="00F90536"/>
    <w:rsid w:val="00F92821"/>
    <w:rsid w:val="00FA5D26"/>
    <w:rsid w:val="00FA623E"/>
    <w:rsid w:val="00FB08F2"/>
    <w:rsid w:val="00FB2038"/>
    <w:rsid w:val="00FB32C9"/>
    <w:rsid w:val="00FB5DFD"/>
    <w:rsid w:val="00FC2494"/>
    <w:rsid w:val="00FC7A25"/>
    <w:rsid w:val="00FD0E77"/>
    <w:rsid w:val="00FD541B"/>
    <w:rsid w:val="00FE23E3"/>
    <w:rsid w:val="00FE4562"/>
    <w:rsid w:val="00FF0A22"/>
    <w:rsid w:val="00FF1D12"/>
    <w:rsid w:val="00FF36DA"/>
    <w:rsid w:val="146F2FB8"/>
    <w:rsid w:val="14B1690A"/>
    <w:rsid w:val="268D5B0D"/>
    <w:rsid w:val="27163165"/>
    <w:rsid w:val="29C1637E"/>
    <w:rsid w:val="366A344A"/>
    <w:rsid w:val="49BB7158"/>
    <w:rsid w:val="49F03A27"/>
    <w:rsid w:val="50202F0E"/>
    <w:rsid w:val="55F72CEC"/>
    <w:rsid w:val="563B718A"/>
    <w:rsid w:val="57212A3A"/>
    <w:rsid w:val="5D390B0C"/>
    <w:rsid w:val="69215438"/>
    <w:rsid w:val="6D6B61D6"/>
    <w:rsid w:val="6E6B3EEF"/>
    <w:rsid w:val="7A604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link w:val="10"/>
    <w:qFormat/>
    <w:uiPriority w:val="99"/>
    <w:pPr>
      <w:tabs>
        <w:tab w:val="center" w:pos="4153"/>
        <w:tab w:val="right" w:pos="8306"/>
      </w:tabs>
      <w:snapToGrid w:val="0"/>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 w:type="character" w:styleId="8">
    <w:name w:val="Strong"/>
    <w:qFormat/>
    <w:uiPriority w:val="0"/>
    <w:rPr>
      <w:rFonts w:cs="Times New Roman"/>
      <w:b/>
      <w:bCs/>
    </w:rPr>
  </w:style>
  <w:style w:type="character" w:styleId="9">
    <w:name w:val="page number"/>
    <w:qFormat/>
    <w:uiPriority w:val="0"/>
  </w:style>
  <w:style w:type="character" w:customStyle="1" w:styleId="10">
    <w:name w:val="页脚 Char"/>
    <w:basedOn w:val="7"/>
    <w:link w:val="4"/>
    <w:qFormat/>
    <w:uiPriority w:val="99"/>
    <w:rPr>
      <w:rFonts w:asciiTheme="minorHAnsi" w:hAnsiTheme="minorHAnsi" w:eastAsiaTheme="minorEastAsia" w:cstheme="minorBidi"/>
      <w:kern w:val="2"/>
      <w:sz w:val="18"/>
      <w:szCs w:val="24"/>
    </w:rPr>
  </w:style>
  <w:style w:type="character" w:customStyle="1" w:styleId="11">
    <w:name w:val="批注框文本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17</Pages>
  <Words>8368</Words>
  <Characters>8797</Characters>
  <Lines>64</Lines>
  <Paragraphs>18</Paragraphs>
  <TotalTime>1088</TotalTime>
  <ScaleCrop>false</ScaleCrop>
  <LinksUpToDate>false</LinksUpToDate>
  <CharactersWithSpaces>8893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2021-10-08T03:10:00Z</dcterms:created>
  <dc:creator>fln</dc:creator>
  <cp:lastModifiedBy>白开水</cp:lastModifiedBy>
  <cp:lastPrinted>2024-02-18T09:43:00Z</cp:lastPrinted>
  <dcterms:modified xsi:type="dcterms:W3CDTF">2025-05-31T04:35:44Z</dcterms:modified>
  <cp:revision>609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F40AD10A3D214D4F879AC948FA217ADB</vt:lpwstr>
  </property>
  <property fmtid="{D5CDD505-2E9C-101B-9397-08002B2CF9AE}" pid="4" name="KSOTemplateDocerSaveRecord">
    <vt:lpwstr>eyJoZGlkIjoiMWQ2NjY3ZTJhY2I0M2FmY2ViOTI5ZjNmZGM2ZjgxYWUiLCJ1c2VySWQiOiIzODQ1NDI1NzcifQ==</vt:lpwstr>
  </property>
</Properties>
</file>