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DEE826">
      <w:pPr>
        <w:jc w:val="left"/>
        <w:rPr>
          <w:rFonts w:ascii="仿宋_GB2312" w:eastAsia="仿宋_GB2312"/>
          <w:sz w:val="32"/>
          <w:szCs w:val="32"/>
        </w:rPr>
      </w:pPr>
      <w:bookmarkStart w:id="0" w:name="_GoBack"/>
      <w:bookmarkEnd w:id="0"/>
      <w:r>
        <w:rPr>
          <w:rFonts w:hint="eastAsia" w:ascii="仿宋_GB2312" w:eastAsia="仿宋_GB2312"/>
          <w:sz w:val="32"/>
          <w:szCs w:val="32"/>
        </w:rPr>
        <w:t>附件5</w:t>
      </w:r>
    </w:p>
    <w:p w14:paraId="4897817F">
      <w:pPr>
        <w:jc w:val="center"/>
        <w:rPr>
          <w:rFonts w:hint="eastAsia" w:ascii="方正小标宋简体" w:eastAsia="方正小标宋简体"/>
          <w:sz w:val="44"/>
          <w:szCs w:val="44"/>
        </w:rPr>
      </w:pPr>
      <w:r>
        <w:rPr>
          <w:rFonts w:hint="eastAsia" w:ascii="方正小标宋简体" w:eastAsia="方正小标宋简体"/>
          <w:sz w:val="44"/>
          <w:szCs w:val="44"/>
        </w:rPr>
        <w:t>项目支出绩效自评报告</w:t>
      </w:r>
    </w:p>
    <w:p w14:paraId="325EFF3B">
      <w:pPr>
        <w:spacing w:line="600" w:lineRule="exact"/>
        <w:ind w:firstLine="640" w:firstLineChars="200"/>
        <w:rPr>
          <w:rFonts w:hint="eastAsia" w:eastAsia="黑体"/>
          <w:sz w:val="32"/>
          <w:szCs w:val="32"/>
        </w:rPr>
      </w:pPr>
    </w:p>
    <w:p w14:paraId="7C2BA385">
      <w:pPr>
        <w:spacing w:line="600" w:lineRule="exact"/>
        <w:ind w:firstLine="640" w:firstLineChars="200"/>
        <w:rPr>
          <w:rFonts w:eastAsia="黑体"/>
          <w:sz w:val="32"/>
          <w:szCs w:val="32"/>
        </w:rPr>
      </w:pPr>
      <w:r>
        <w:rPr>
          <w:rFonts w:hint="eastAsia" w:eastAsia="黑体"/>
          <w:sz w:val="32"/>
          <w:szCs w:val="32"/>
        </w:rPr>
        <w:t>一、项目基本情况</w:t>
      </w:r>
    </w:p>
    <w:p w14:paraId="1A2BDF7C">
      <w:pPr>
        <w:spacing w:line="600" w:lineRule="exact"/>
        <w:ind w:firstLine="643" w:firstLineChars="200"/>
        <w:rPr>
          <w:rFonts w:ascii="楷体_GB2312" w:eastAsia="楷体_GB2312"/>
          <w:b/>
          <w:sz w:val="32"/>
          <w:szCs w:val="32"/>
        </w:rPr>
      </w:pPr>
      <w:r>
        <w:rPr>
          <w:rFonts w:hint="eastAsia" w:ascii="楷体_GB2312" w:eastAsia="楷体_GB2312"/>
          <w:b/>
          <w:sz w:val="32"/>
          <w:szCs w:val="32"/>
        </w:rPr>
        <w:t>（一）项目概况</w:t>
      </w:r>
    </w:p>
    <w:p w14:paraId="372959B5">
      <w:pPr>
        <w:widowControl/>
        <w:ind w:firstLine="640" w:firstLineChars="200"/>
        <w:jc w:val="left"/>
        <w:rPr>
          <w:rFonts w:hint="eastAsia" w:ascii="仿宋_GB2312" w:eastAsia="仿宋_GB2312"/>
          <w:sz w:val="32"/>
          <w:szCs w:val="32"/>
          <w:lang w:val="en-US" w:eastAsia="zh-CN"/>
        </w:rPr>
      </w:pPr>
      <w:r>
        <w:rPr>
          <w:rFonts w:hint="eastAsia" w:ascii="仿宋_GB2312" w:eastAsia="仿宋_GB2312"/>
          <w:sz w:val="32"/>
          <w:szCs w:val="32"/>
          <w:lang w:eastAsia="zh-CN"/>
        </w:rPr>
        <w:t>根据《甘财综</w:t>
      </w:r>
      <w:r>
        <w:rPr>
          <w:rFonts w:hint="eastAsia" w:ascii="仿宋_GB2312" w:eastAsia="仿宋_GB2312"/>
          <w:sz w:val="32"/>
          <w:szCs w:val="32"/>
        </w:rPr>
        <w:t>[</w:t>
      </w:r>
      <w:r>
        <w:rPr>
          <w:rFonts w:hint="eastAsia" w:ascii="仿宋_GB2312" w:eastAsia="仿宋_GB2312"/>
          <w:sz w:val="32"/>
          <w:szCs w:val="32"/>
          <w:lang w:val="en-US" w:eastAsia="zh-CN"/>
        </w:rPr>
        <w:t>2023</w:t>
      </w:r>
      <w:r>
        <w:rPr>
          <w:rFonts w:hint="eastAsia" w:ascii="仿宋_GB2312" w:eastAsia="仿宋_GB2312"/>
          <w:sz w:val="32"/>
          <w:szCs w:val="32"/>
        </w:rPr>
        <w:t>]</w:t>
      </w:r>
      <w:r>
        <w:rPr>
          <w:rFonts w:hint="eastAsia" w:ascii="仿宋_GB2312" w:eastAsia="仿宋_GB2312"/>
          <w:sz w:val="32"/>
          <w:szCs w:val="32"/>
          <w:lang w:val="en-US" w:eastAsia="zh-CN"/>
        </w:rPr>
        <w:t>17号关于下达2023年省级财政城镇保障性安居工程补助资金用于城镇老旧小区改造激励支出资金的通知》，2023年下达我县2022年度城镇片区老旧小区改造小区配套基础设施项目省级财政城镇保障性安居工程补助资金用于城镇老旧小区改造激励资金300万元。</w:t>
      </w:r>
    </w:p>
    <w:p w14:paraId="21E15A0D">
      <w:pPr>
        <w:numPr>
          <w:ilvl w:val="0"/>
          <w:numId w:val="1"/>
        </w:numPr>
        <w:spacing w:line="600" w:lineRule="exact"/>
        <w:ind w:firstLine="640" w:firstLineChars="200"/>
        <w:rPr>
          <w:rFonts w:hint="eastAsia" w:eastAsia="黑体"/>
          <w:sz w:val="32"/>
          <w:szCs w:val="32"/>
          <w:lang w:eastAsia="zh-CN"/>
        </w:rPr>
      </w:pPr>
      <w:r>
        <w:rPr>
          <w:rFonts w:hint="eastAsia" w:eastAsia="黑体"/>
          <w:sz w:val="32"/>
          <w:szCs w:val="32"/>
        </w:rPr>
        <w:t>绩效目标</w:t>
      </w:r>
      <w:r>
        <w:rPr>
          <w:rFonts w:hint="eastAsia" w:eastAsia="黑体"/>
          <w:sz w:val="32"/>
          <w:szCs w:val="32"/>
          <w:lang w:eastAsia="zh-CN"/>
        </w:rPr>
        <w:t>完成情况</w:t>
      </w:r>
    </w:p>
    <w:p w14:paraId="21CEC9D5">
      <w:pPr>
        <w:numPr>
          <w:ilvl w:val="0"/>
          <w:numId w:val="2"/>
        </w:numPr>
        <w:spacing w:line="600" w:lineRule="exact"/>
        <w:ind w:left="480" w:leftChars="0" w:firstLine="0" w:firstLineChars="0"/>
        <w:rPr>
          <w:rFonts w:hint="eastAsia" w:eastAsia="黑体"/>
          <w:sz w:val="32"/>
          <w:szCs w:val="32"/>
          <w:lang w:val="en-US" w:eastAsia="zh-CN"/>
        </w:rPr>
      </w:pPr>
      <w:r>
        <w:rPr>
          <w:rFonts w:hint="eastAsia" w:eastAsia="黑体"/>
          <w:sz w:val="32"/>
          <w:szCs w:val="32"/>
          <w:lang w:val="en-US" w:eastAsia="zh-CN"/>
        </w:rPr>
        <w:t>资金投入情况分析。</w:t>
      </w:r>
    </w:p>
    <w:p w14:paraId="2A74CD2E">
      <w:pPr>
        <w:numPr>
          <w:ilvl w:val="0"/>
          <w:numId w:val="3"/>
        </w:num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项目资金到位及执行情况分析：2022年度城镇片区老旧小区改造小区配套基础设施项目省级财政城镇保障性安居工程补助资金用于城镇老旧小区改造激励资金300万元于2023年5月31日拨入我单位账户。</w:t>
      </w:r>
    </w:p>
    <w:p w14:paraId="14408ADB">
      <w:pPr>
        <w:numPr>
          <w:ilvl w:val="0"/>
          <w:numId w:val="0"/>
        </w:num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2.项目资金执行情况分析：项目资金下达后，我单位根据项目实施进度专款专用，将该笔资金拨付至该项目中标施工单位账户，用于该项目的实施。</w:t>
      </w:r>
    </w:p>
    <w:p w14:paraId="35554925">
      <w:pPr>
        <w:numPr>
          <w:ilvl w:val="0"/>
          <w:numId w:val="0"/>
        </w:numPr>
        <w:ind w:firstLine="640" w:firstLineChars="200"/>
        <w:rPr>
          <w:rFonts w:hint="eastAsia" w:ascii="仿宋_GB2312" w:eastAsia="仿宋_GB2312"/>
          <w:sz w:val="32"/>
          <w:szCs w:val="32"/>
        </w:rPr>
      </w:pPr>
      <w:r>
        <w:rPr>
          <w:rFonts w:hint="eastAsia" w:ascii="仿宋_GB2312" w:eastAsia="仿宋_GB2312"/>
          <w:sz w:val="32"/>
          <w:szCs w:val="32"/>
          <w:lang w:val="en-US" w:eastAsia="zh-CN"/>
        </w:rPr>
        <w:t>3.项目资金管理情况分析：我单位收到补助资金后,实行专项管理、分账核算,按照规定用于2022年度城镇片区老旧小区改造小区配套基础设施项目,将资金拨付到具体项目并严格按规定用途安排使用资金，切实加强资金监督管理，确保项目顺利实施。</w:t>
      </w:r>
    </w:p>
    <w:p w14:paraId="336A2365">
      <w:pPr>
        <w:spacing w:line="600" w:lineRule="exact"/>
        <w:ind w:firstLine="640" w:firstLineChars="200"/>
        <w:rPr>
          <w:rFonts w:hint="eastAsia" w:ascii="仿宋_GB2312" w:eastAsia="仿宋_GB2312"/>
          <w:sz w:val="32"/>
          <w:szCs w:val="32"/>
        </w:rPr>
      </w:pPr>
      <w:r>
        <w:rPr>
          <w:rFonts w:hint="eastAsia" w:ascii="黑体" w:hAnsi="黑体" w:eastAsia="黑体"/>
          <w:sz w:val="32"/>
          <w:szCs w:val="32"/>
          <w:lang w:eastAsia="zh-CN"/>
        </w:rPr>
        <w:t>（</w:t>
      </w:r>
      <w:r>
        <w:rPr>
          <w:rFonts w:hint="eastAsia" w:ascii="黑体" w:hAnsi="黑体" w:eastAsia="黑体"/>
          <w:sz w:val="32"/>
          <w:szCs w:val="32"/>
        </w:rPr>
        <w:t>二</w:t>
      </w:r>
      <w:r>
        <w:rPr>
          <w:rFonts w:hint="eastAsia" w:ascii="黑体" w:hAnsi="黑体" w:eastAsia="黑体"/>
          <w:sz w:val="32"/>
          <w:szCs w:val="32"/>
          <w:lang w:eastAsia="zh-CN"/>
        </w:rPr>
        <w:t>）总体绩效目标完成情况分析。</w:t>
      </w:r>
      <w:r>
        <w:rPr>
          <w:rFonts w:hint="eastAsia" w:ascii="仿宋_GB2312" w:eastAsia="仿宋_GB2312"/>
          <w:sz w:val="32"/>
          <w:szCs w:val="32"/>
        </w:rPr>
        <w:t>实施</w:t>
      </w:r>
      <w:r>
        <w:rPr>
          <w:rFonts w:hint="eastAsia" w:ascii="仿宋_GB2312" w:eastAsia="仿宋_GB2312"/>
          <w:sz w:val="32"/>
          <w:szCs w:val="32"/>
          <w:lang w:val="en-US" w:eastAsia="zh-CN"/>
        </w:rPr>
        <w:t>2022年度城镇片区老旧小区改造小区配套基础设施项目</w:t>
      </w:r>
      <w:r>
        <w:rPr>
          <w:rFonts w:hint="eastAsia" w:ascii="仿宋_GB2312" w:eastAsia="仿宋_GB2312"/>
          <w:sz w:val="32"/>
          <w:szCs w:val="32"/>
        </w:rPr>
        <w:t>，对改善原小区人居环境、完善基础设施功能具有十分重要的意义。</w:t>
      </w:r>
    </w:p>
    <w:p w14:paraId="41A0A252">
      <w:pPr>
        <w:spacing w:line="600" w:lineRule="exact"/>
        <w:ind w:firstLine="640" w:firstLineChars="200"/>
        <w:rPr>
          <w:rFonts w:hint="eastAsia" w:ascii="黑体" w:hAnsi="黑体" w:eastAsia="黑体"/>
          <w:sz w:val="32"/>
          <w:szCs w:val="32"/>
        </w:rPr>
      </w:pPr>
      <w:r>
        <w:rPr>
          <w:rFonts w:hint="eastAsia" w:ascii="黑体" w:hAnsi="黑体" w:eastAsia="黑体"/>
          <w:sz w:val="32"/>
          <w:szCs w:val="32"/>
          <w:lang w:eastAsia="zh-CN"/>
        </w:rPr>
        <w:t>（三）</w:t>
      </w:r>
      <w:r>
        <w:rPr>
          <w:rFonts w:hint="eastAsia" w:ascii="黑体" w:hAnsi="黑体" w:eastAsia="黑体"/>
          <w:sz w:val="32"/>
          <w:szCs w:val="32"/>
        </w:rPr>
        <w:t>绩效目标完成情况分析</w:t>
      </w:r>
    </w:p>
    <w:p w14:paraId="640F7D98">
      <w:pPr>
        <w:numPr>
          <w:ilvl w:val="0"/>
          <w:numId w:val="4"/>
        </w:numPr>
        <w:spacing w:line="600" w:lineRule="exact"/>
        <w:ind w:left="640" w:leftChars="0" w:firstLine="0" w:firstLineChars="0"/>
        <w:rPr>
          <w:rFonts w:hint="eastAsia" w:ascii="仿宋_GB2312" w:eastAsia="仿宋_GB2312"/>
          <w:sz w:val="32"/>
          <w:szCs w:val="32"/>
          <w:lang w:val="en-US" w:eastAsia="zh-CN"/>
        </w:rPr>
      </w:pPr>
      <w:r>
        <w:rPr>
          <w:rFonts w:hint="eastAsia" w:ascii="仿宋_GB2312" w:eastAsia="仿宋_GB2312"/>
          <w:sz w:val="32"/>
          <w:szCs w:val="32"/>
          <w:lang w:val="en-US" w:eastAsia="zh-CN"/>
        </w:rPr>
        <w:t>产出指标完成情况分析</w:t>
      </w:r>
    </w:p>
    <w:p w14:paraId="49DC8E54">
      <w:pPr>
        <w:numPr>
          <w:ilvl w:val="0"/>
          <w:numId w:val="5"/>
        </w:num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数量指标：</w:t>
      </w:r>
      <w:r>
        <w:rPr>
          <w:rFonts w:hint="eastAsia" w:ascii="仿宋_GB2312" w:eastAsia="仿宋_GB2312"/>
          <w:sz w:val="32"/>
          <w:szCs w:val="32"/>
        </w:rPr>
        <w:t>山丹县202</w:t>
      </w:r>
      <w:r>
        <w:rPr>
          <w:rFonts w:hint="eastAsia" w:ascii="仿宋_GB2312" w:eastAsia="仿宋_GB2312"/>
          <w:sz w:val="32"/>
          <w:szCs w:val="32"/>
          <w:lang w:val="en-US" w:eastAsia="zh-CN"/>
        </w:rPr>
        <w:t>2</w:t>
      </w:r>
      <w:r>
        <w:rPr>
          <w:rFonts w:hint="eastAsia" w:ascii="仿宋_GB2312" w:eastAsia="仿宋_GB2312"/>
          <w:sz w:val="32"/>
          <w:szCs w:val="32"/>
        </w:rPr>
        <w:t>年度城镇片区老旧小区改造项目对禾庆丽苑、和悦家园等12处城镇老旧小区的小区房屋公共区域修缮，小区外道路进行改造，共计1894户。</w:t>
      </w:r>
      <w:r>
        <w:rPr>
          <w:rFonts w:hint="eastAsia" w:ascii="仿宋_GB2312" w:eastAsia="仿宋_GB2312"/>
          <w:sz w:val="32"/>
          <w:szCs w:val="32"/>
          <w:lang w:eastAsia="zh-CN"/>
        </w:rPr>
        <w:t>总建筑面积</w:t>
      </w:r>
      <w:r>
        <w:rPr>
          <w:rFonts w:hint="eastAsia" w:ascii="仿宋_GB2312" w:eastAsia="仿宋_GB2312"/>
          <w:sz w:val="32"/>
          <w:szCs w:val="32"/>
          <w:lang w:val="en-US" w:eastAsia="zh-CN"/>
        </w:rPr>
        <w:t>20.1</w:t>
      </w:r>
      <w:r>
        <w:rPr>
          <w:rFonts w:hint="eastAsia" w:ascii="仿宋_GB2312" w:eastAsia="仿宋_GB2312"/>
          <w:sz w:val="32"/>
          <w:szCs w:val="32"/>
          <w:lang w:eastAsia="zh-CN"/>
        </w:rPr>
        <w:t>万平方米。</w:t>
      </w:r>
    </w:p>
    <w:p w14:paraId="050C42A5">
      <w:pPr>
        <w:numPr>
          <w:ilvl w:val="0"/>
          <w:numId w:val="6"/>
        </w:num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质量指标：2022年度城镇片区老旧小区改造小区配套基础设施项目因气候影响，目前完工80%，气候转暖将加快工程进度，尽快完工并进行竣工验收。</w:t>
      </w:r>
    </w:p>
    <w:p w14:paraId="79152FF6">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3</w:t>
      </w:r>
      <w:r>
        <w:rPr>
          <w:rFonts w:hint="eastAsia" w:ascii="仿宋_GB2312" w:eastAsia="仿宋_GB2312"/>
          <w:sz w:val="32"/>
          <w:szCs w:val="32"/>
          <w:lang w:eastAsia="zh-CN"/>
        </w:rPr>
        <w:t>）时效指标：</w:t>
      </w:r>
      <w:r>
        <w:rPr>
          <w:rFonts w:hint="eastAsia" w:ascii="仿宋_GB2312" w:eastAsia="仿宋_GB2312"/>
          <w:sz w:val="32"/>
          <w:szCs w:val="32"/>
          <w:lang w:val="en-US" w:eastAsia="zh-CN"/>
        </w:rPr>
        <w:t>截</w:t>
      </w:r>
      <w:r>
        <w:rPr>
          <w:rFonts w:hint="eastAsia" w:ascii="仿宋_GB2312" w:eastAsia="仿宋_GB2312"/>
          <w:sz w:val="32"/>
          <w:szCs w:val="32"/>
          <w:lang w:eastAsia="zh-CN"/>
        </w:rPr>
        <w:t>止目前，山丹县</w:t>
      </w:r>
      <w:r>
        <w:rPr>
          <w:rFonts w:hint="eastAsia" w:ascii="仿宋_GB2312" w:eastAsia="仿宋_GB2312"/>
          <w:sz w:val="32"/>
          <w:szCs w:val="32"/>
          <w:lang w:val="en-US" w:eastAsia="zh-CN"/>
        </w:rPr>
        <w:t>2022年度城镇片区老旧小区改造小区配套基础设施项目因气候原因未完工，待完工后进行竣工结算</w:t>
      </w:r>
      <w:r>
        <w:rPr>
          <w:rFonts w:hint="eastAsia" w:ascii="仿宋_GB2312" w:eastAsia="仿宋_GB2312"/>
          <w:sz w:val="32"/>
          <w:szCs w:val="32"/>
          <w:lang w:eastAsia="zh-CN"/>
        </w:rPr>
        <w:t>。</w:t>
      </w:r>
    </w:p>
    <w:p w14:paraId="16D43C60">
      <w:pPr>
        <w:numPr>
          <w:ilvl w:val="0"/>
          <w:numId w:val="7"/>
        </w:numPr>
        <w:spacing w:line="600" w:lineRule="exact"/>
        <w:ind w:left="800" w:leftChars="0" w:firstLine="0" w:firstLineChars="0"/>
        <w:rPr>
          <w:rFonts w:hint="eastAsia" w:ascii="仿宋_GB2312" w:eastAsia="仿宋_GB2312"/>
          <w:sz w:val="32"/>
          <w:szCs w:val="32"/>
          <w:lang w:val="en-US" w:eastAsia="zh-CN"/>
        </w:rPr>
      </w:pPr>
      <w:r>
        <w:rPr>
          <w:rFonts w:hint="eastAsia" w:ascii="仿宋_GB2312" w:eastAsia="仿宋_GB2312"/>
          <w:sz w:val="32"/>
          <w:szCs w:val="32"/>
          <w:lang w:val="en-US" w:eastAsia="zh-CN"/>
        </w:rPr>
        <w:t>效益指标完成情况分析</w:t>
      </w:r>
    </w:p>
    <w:p w14:paraId="2A378C3B">
      <w:pPr>
        <w:numPr>
          <w:ilvl w:val="0"/>
          <w:numId w:val="8"/>
        </w:num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经济效益指标：该项目的实施形成固定资产投资300万元。</w:t>
      </w:r>
    </w:p>
    <w:p w14:paraId="4267FABC">
      <w:pPr>
        <w:numPr>
          <w:ilvl w:val="0"/>
          <w:numId w:val="8"/>
        </w:numPr>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社会效益指标：2022年度城镇片区老旧小区改造小区配套基础设施项目的建设促进了主城区的建设和经济的发展；也满足了地区经济发展对运输环境及其条件改变的要求；也改善了生态环境、推进科学文化事业的发展，促进国民经济的增长，改善人民生活水平。</w:t>
      </w:r>
    </w:p>
    <w:p w14:paraId="5F4968A1">
      <w:pPr>
        <w:numPr>
          <w:ilvl w:val="0"/>
          <w:numId w:val="8"/>
        </w:numPr>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可持续影响指标：社会公共服务水平极大幅度提升。</w:t>
      </w:r>
    </w:p>
    <w:p w14:paraId="70A11FCE">
      <w:pPr>
        <w:numPr>
          <w:ilvl w:val="0"/>
          <w:numId w:val="0"/>
        </w:numPr>
        <w:spacing w:line="600" w:lineRule="exact"/>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3.满意度指标完成情况分析:通过实施2022年度城镇片区老旧小区改造小区配套基础设施项目的建设有利于改善居民的生活环境，提升了群众幸福感</w:t>
      </w:r>
      <w:r>
        <w:rPr>
          <w:rFonts w:hint="eastAsia" w:ascii="仿宋_GB2312" w:eastAsia="仿宋_GB2312"/>
          <w:sz w:val="32"/>
          <w:szCs w:val="32"/>
          <w:lang w:eastAsia="zh-CN"/>
        </w:rPr>
        <w:t>，居民满意度达到</w:t>
      </w:r>
      <w:r>
        <w:rPr>
          <w:rFonts w:hint="eastAsia" w:ascii="仿宋_GB2312" w:eastAsia="仿宋_GB2312"/>
          <w:sz w:val="32"/>
          <w:szCs w:val="32"/>
          <w:lang w:val="en-US" w:eastAsia="zh-CN"/>
        </w:rPr>
        <w:t>90%。</w:t>
      </w:r>
    </w:p>
    <w:p w14:paraId="63E719BE">
      <w:pPr>
        <w:spacing w:line="600" w:lineRule="exact"/>
        <w:ind w:firstLine="640" w:firstLineChars="200"/>
        <w:rPr>
          <w:rFonts w:ascii="黑体" w:hAnsi="黑体" w:eastAsia="黑体"/>
          <w:sz w:val="32"/>
          <w:szCs w:val="32"/>
        </w:rPr>
      </w:pPr>
      <w:r>
        <w:rPr>
          <w:rFonts w:hint="eastAsia" w:ascii="黑体" w:hAnsi="黑体" w:eastAsia="黑体"/>
          <w:sz w:val="32"/>
          <w:szCs w:val="32"/>
        </w:rPr>
        <w:t>四、自评结论</w:t>
      </w:r>
    </w:p>
    <w:p w14:paraId="453A7708">
      <w:pPr>
        <w:numPr>
          <w:ilvl w:val="0"/>
          <w:numId w:val="0"/>
        </w:numPr>
        <w:spacing w:line="600" w:lineRule="exact"/>
        <w:ind w:firstLine="640" w:firstLineChars="200"/>
        <w:rPr>
          <w:rFonts w:hint="eastAsia" w:ascii="仿宋_GB2312" w:eastAsia="仿宋"/>
          <w:sz w:val="32"/>
          <w:szCs w:val="32"/>
          <w:lang w:val="en-US" w:eastAsia="zh-CN"/>
        </w:rPr>
      </w:pPr>
      <w:r>
        <w:rPr>
          <w:rFonts w:hint="eastAsia" w:ascii="仿宋_GB2312" w:eastAsia="仿宋_GB2312"/>
          <w:sz w:val="32"/>
          <w:szCs w:val="32"/>
        </w:rPr>
        <w:t>该项目是县城基础设施建设的重要组成部分，可促进主城区的建设和经济的发展；可以满足地区经济发展对运输环境及其条件改变的要求；可改善生态环境、推进科学文化事业的发展，促进国民经济的增长，改善人民生活水平；可增加新的就业机会，减小社会就业压力；可带动道路两旁土地的升值，创造良好的社会效益及经济效益。该项目建成后，道路绿化将本区域绿化系统联系为一个整体，道路两侧绿化既能美化城市，又能净化空气。</w:t>
      </w:r>
      <w:r>
        <w:rPr>
          <w:rFonts w:hint="eastAsia" w:ascii="仿宋" w:hAnsi="仿宋" w:eastAsia="仿宋"/>
          <w:color w:val="auto"/>
          <w:sz w:val="32"/>
          <w:szCs w:val="32"/>
        </w:rPr>
        <w:t>从产出指标、效益指标、满意度指标经过自评，综合得分为</w:t>
      </w:r>
      <w:r>
        <w:rPr>
          <w:rFonts w:hint="eastAsia" w:ascii="仿宋" w:hAnsi="仿宋" w:eastAsia="仿宋"/>
          <w:color w:val="auto"/>
          <w:sz w:val="32"/>
          <w:szCs w:val="32"/>
          <w:lang w:val="en-US" w:eastAsia="zh-CN"/>
        </w:rPr>
        <w:t>89</w:t>
      </w:r>
      <w:r>
        <w:rPr>
          <w:rFonts w:hint="eastAsia" w:ascii="仿宋" w:hAnsi="仿宋" w:eastAsia="仿宋"/>
          <w:color w:val="auto"/>
          <w:sz w:val="32"/>
          <w:szCs w:val="32"/>
        </w:rPr>
        <w:t>分，评价结果为</w:t>
      </w:r>
      <w:r>
        <w:rPr>
          <w:rFonts w:hint="eastAsia" w:ascii="仿宋" w:hAnsi="仿宋" w:eastAsia="仿宋"/>
          <w:color w:val="auto"/>
          <w:sz w:val="32"/>
          <w:szCs w:val="32"/>
          <w:lang w:eastAsia="zh-CN"/>
        </w:rPr>
        <w:t>良。</w:t>
      </w:r>
    </w:p>
    <w:p w14:paraId="0E50E65A">
      <w:pPr>
        <w:spacing w:line="600" w:lineRule="exact"/>
        <w:ind w:firstLine="420" w:firstLineChars="200"/>
      </w:pPr>
    </w:p>
    <w:p w14:paraId="701EC8D5">
      <w:pPr>
        <w:spacing w:line="600" w:lineRule="exact"/>
        <w:ind w:firstLine="420" w:firstLineChars="200"/>
      </w:pPr>
    </w:p>
    <w:p w14:paraId="541AA4C2">
      <w:pPr>
        <w:spacing w:line="600" w:lineRule="exact"/>
        <w:ind w:firstLine="420" w:firstLineChars="200"/>
      </w:pPr>
    </w:p>
    <w:p w14:paraId="3AF8A833">
      <w:pPr>
        <w:spacing w:line="600" w:lineRule="exact"/>
        <w:ind w:firstLine="420" w:firstLineChars="200"/>
        <w:rPr>
          <w:rFonts w:hint="eastAsia" w:ascii="仿宋" w:hAnsi="仿宋" w:eastAsia="仿宋"/>
          <w:sz w:val="32"/>
          <w:szCs w:val="32"/>
          <w:lang w:val="en-US" w:eastAsia="zh-CN"/>
        </w:rPr>
      </w:pPr>
      <w:r>
        <w:rPr>
          <w:rFonts w:hint="eastAsia"/>
          <w:lang w:val="en-US" w:eastAsia="zh-CN"/>
        </w:rPr>
        <w:t xml:space="preserve">                                      </w:t>
      </w:r>
      <w:r>
        <w:rPr>
          <w:rFonts w:hint="eastAsia" w:ascii="仿宋" w:hAnsi="仿宋" w:eastAsia="仿宋"/>
          <w:sz w:val="32"/>
          <w:szCs w:val="32"/>
          <w:lang w:val="en-US" w:eastAsia="zh-CN"/>
        </w:rPr>
        <w:t>山丹县住房保障服务中心</w:t>
      </w:r>
    </w:p>
    <w:p w14:paraId="56BBA533">
      <w:pPr>
        <w:spacing w:line="60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 xml:space="preserve">                          2023年12月18日</w:t>
      </w:r>
    </w:p>
    <w:p w14:paraId="106A1CBD">
      <w:pPr>
        <w:spacing w:line="600" w:lineRule="exact"/>
        <w:ind w:firstLine="643" w:firstLineChars="200"/>
        <w:rPr>
          <w:rFonts w:hint="eastAsia" w:ascii="楷体_GB2312" w:eastAsia="楷体_GB2312"/>
          <w:b/>
          <w:sz w:val="32"/>
          <w:szCs w:val="32"/>
        </w:rPr>
      </w:pPr>
    </w:p>
    <w:p w14:paraId="38526BE6">
      <w:pPr>
        <w:numPr>
          <w:ilvl w:val="0"/>
          <w:numId w:val="0"/>
        </w:numPr>
        <w:spacing w:line="600" w:lineRule="exact"/>
        <w:ind w:firstLine="640" w:firstLineChars="200"/>
        <w:rPr>
          <w:rFonts w:hint="eastAsia" w:ascii="仿宋" w:hAnsi="仿宋" w:eastAsia="仿宋"/>
          <w:sz w:val="32"/>
          <w:szCs w:val="32"/>
        </w:rPr>
      </w:pP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CA4D45"/>
    <w:multiLevelType w:val="singleLevel"/>
    <w:tmpl w:val="8ACA4D45"/>
    <w:lvl w:ilvl="0" w:tentative="0">
      <w:start w:val="1"/>
      <w:numFmt w:val="decimal"/>
      <w:suff w:val="nothing"/>
      <w:lvlText w:val="（%1）"/>
      <w:lvlJc w:val="left"/>
    </w:lvl>
  </w:abstractNum>
  <w:abstractNum w:abstractNumId="1">
    <w:nsid w:val="95209F10"/>
    <w:multiLevelType w:val="singleLevel"/>
    <w:tmpl w:val="95209F10"/>
    <w:lvl w:ilvl="0" w:tentative="0">
      <w:start w:val="1"/>
      <w:numFmt w:val="chineseCounting"/>
      <w:suff w:val="nothing"/>
      <w:lvlText w:val="（%1）"/>
      <w:lvlJc w:val="left"/>
      <w:pPr>
        <w:ind w:left="480" w:leftChars="0" w:firstLine="0" w:firstLineChars="0"/>
      </w:pPr>
      <w:rPr>
        <w:rFonts w:hint="eastAsia"/>
      </w:rPr>
    </w:lvl>
  </w:abstractNum>
  <w:abstractNum w:abstractNumId="2">
    <w:nsid w:val="A48581E4"/>
    <w:multiLevelType w:val="singleLevel"/>
    <w:tmpl w:val="A48581E4"/>
    <w:lvl w:ilvl="0" w:tentative="0">
      <w:start w:val="1"/>
      <w:numFmt w:val="decimal"/>
      <w:suff w:val="nothing"/>
      <w:lvlText w:val="（%1）"/>
      <w:lvlJc w:val="left"/>
    </w:lvl>
  </w:abstractNum>
  <w:abstractNum w:abstractNumId="3">
    <w:nsid w:val="DE229BFF"/>
    <w:multiLevelType w:val="singleLevel"/>
    <w:tmpl w:val="DE229BFF"/>
    <w:lvl w:ilvl="0" w:tentative="0">
      <w:start w:val="1"/>
      <w:numFmt w:val="decimal"/>
      <w:lvlText w:val="%1."/>
      <w:lvlJc w:val="left"/>
      <w:pPr>
        <w:tabs>
          <w:tab w:val="left" w:pos="312"/>
        </w:tabs>
        <w:ind w:left="800" w:leftChars="0" w:firstLine="0" w:firstLineChars="0"/>
      </w:pPr>
    </w:lvl>
  </w:abstractNum>
  <w:abstractNum w:abstractNumId="4">
    <w:nsid w:val="2F5EB675"/>
    <w:multiLevelType w:val="singleLevel"/>
    <w:tmpl w:val="2F5EB675"/>
    <w:lvl w:ilvl="0" w:tentative="0">
      <w:start w:val="1"/>
      <w:numFmt w:val="decimal"/>
      <w:suff w:val="nothing"/>
      <w:lvlText w:val="（%1）"/>
      <w:lvlJc w:val="left"/>
    </w:lvl>
  </w:abstractNum>
  <w:abstractNum w:abstractNumId="5">
    <w:nsid w:val="5D7E8A68"/>
    <w:multiLevelType w:val="singleLevel"/>
    <w:tmpl w:val="5D7E8A68"/>
    <w:lvl w:ilvl="0" w:tentative="0">
      <w:start w:val="1"/>
      <w:numFmt w:val="decimal"/>
      <w:lvlText w:val="%1."/>
      <w:lvlJc w:val="left"/>
      <w:pPr>
        <w:tabs>
          <w:tab w:val="left" w:pos="312"/>
        </w:tabs>
      </w:pPr>
    </w:lvl>
  </w:abstractNum>
  <w:abstractNum w:abstractNumId="6">
    <w:nsid w:val="6AAC3B00"/>
    <w:multiLevelType w:val="singleLevel"/>
    <w:tmpl w:val="6AAC3B00"/>
    <w:lvl w:ilvl="0" w:tentative="0">
      <w:start w:val="1"/>
      <w:numFmt w:val="decimal"/>
      <w:lvlText w:val="%1."/>
      <w:lvlJc w:val="left"/>
      <w:pPr>
        <w:tabs>
          <w:tab w:val="left" w:pos="312"/>
        </w:tabs>
        <w:ind w:left="640" w:leftChars="0" w:firstLine="0" w:firstLineChars="0"/>
      </w:pPr>
    </w:lvl>
  </w:abstractNum>
  <w:abstractNum w:abstractNumId="7">
    <w:nsid w:val="7A2A7867"/>
    <w:multiLevelType w:val="singleLevel"/>
    <w:tmpl w:val="7A2A7867"/>
    <w:lvl w:ilvl="0" w:tentative="0">
      <w:start w:val="2"/>
      <w:numFmt w:val="chineseCounting"/>
      <w:suff w:val="nothing"/>
      <w:lvlText w:val="%1、"/>
      <w:lvlJc w:val="left"/>
      <w:rPr>
        <w:rFonts w:hint="eastAsia"/>
      </w:rPr>
    </w:lvl>
  </w:abstractNum>
  <w:num w:numId="1">
    <w:abstractNumId w:val="7"/>
  </w:num>
  <w:num w:numId="2">
    <w:abstractNumId w:val="1"/>
  </w:num>
  <w:num w:numId="3">
    <w:abstractNumId w:val="5"/>
  </w:num>
  <w:num w:numId="4">
    <w:abstractNumId w:val="6"/>
  </w:num>
  <w:num w:numId="5">
    <w:abstractNumId w:val="0"/>
  </w:num>
  <w:num w:numId="6">
    <w:abstractNumId w:val="2"/>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MyODM1NmNmZjQ3ODJlZmYwYzllNDhjMzFkMDJlMzAifQ=="/>
  </w:docVars>
  <w:rsids>
    <w:rsidRoot w:val="0ECA2393"/>
    <w:rsid w:val="0001489F"/>
    <w:rsid w:val="000A7557"/>
    <w:rsid w:val="000C090A"/>
    <w:rsid w:val="001940D5"/>
    <w:rsid w:val="002114C3"/>
    <w:rsid w:val="00286CA1"/>
    <w:rsid w:val="003C6F23"/>
    <w:rsid w:val="00481F21"/>
    <w:rsid w:val="00530E72"/>
    <w:rsid w:val="007B2162"/>
    <w:rsid w:val="00810656"/>
    <w:rsid w:val="00854E14"/>
    <w:rsid w:val="008C120E"/>
    <w:rsid w:val="00976E20"/>
    <w:rsid w:val="009F449D"/>
    <w:rsid w:val="00A34770"/>
    <w:rsid w:val="00B4239C"/>
    <w:rsid w:val="00E430CA"/>
    <w:rsid w:val="00EA2F26"/>
    <w:rsid w:val="02641C78"/>
    <w:rsid w:val="032B2CE9"/>
    <w:rsid w:val="064A01BB"/>
    <w:rsid w:val="0ECA2393"/>
    <w:rsid w:val="0F020693"/>
    <w:rsid w:val="15836462"/>
    <w:rsid w:val="1D1125A5"/>
    <w:rsid w:val="204422C7"/>
    <w:rsid w:val="28922280"/>
    <w:rsid w:val="2A2178DB"/>
    <w:rsid w:val="35FB4652"/>
    <w:rsid w:val="38DF7CCF"/>
    <w:rsid w:val="47187BB8"/>
    <w:rsid w:val="47F649EA"/>
    <w:rsid w:val="4DC25072"/>
    <w:rsid w:val="5599200D"/>
    <w:rsid w:val="58AE32CB"/>
    <w:rsid w:val="5F0E0117"/>
    <w:rsid w:val="667D6C91"/>
    <w:rsid w:val="68B74D97"/>
    <w:rsid w:val="69A2602B"/>
    <w:rsid w:val="6BC70E83"/>
    <w:rsid w:val="709B57D0"/>
    <w:rsid w:val="74823026"/>
    <w:rsid w:val="74BB61F3"/>
    <w:rsid w:val="76D01AC0"/>
    <w:rsid w:val="7ED409F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Calibri"/>
      <w:kern w:val="2"/>
      <w:sz w:val="18"/>
      <w:szCs w:val="18"/>
    </w:rPr>
  </w:style>
  <w:style w:type="character" w:customStyle="1" w:styleId="7">
    <w:name w:val="页脚 Char"/>
    <w:basedOn w:val="5"/>
    <w:link w:val="2"/>
    <w:qFormat/>
    <w:uiPriority w:val="0"/>
    <w:rPr>
      <w:rFonts w:asci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1218</Words>
  <Characters>1288</Characters>
  <Lines>2</Lines>
  <Paragraphs>1</Paragraphs>
  <TotalTime>77</TotalTime>
  <ScaleCrop>false</ScaleCrop>
  <LinksUpToDate>false</LinksUpToDate>
  <CharactersWithSpaces>1357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白开水</cp:lastModifiedBy>
  <cp:lastPrinted>2024-03-13T02:20:00Z</cp:lastPrinted>
  <dcterms:modified xsi:type="dcterms:W3CDTF">2025-06-03T07:58:57Z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505E126D253C4DC597E4FA5C67798FA7</vt:lpwstr>
  </property>
  <property fmtid="{D5CDD505-2E9C-101B-9397-08002B2CF9AE}" pid="4" name="KSOTemplateDocerSaveRecord">
    <vt:lpwstr>eyJoZGlkIjoiMWQ2NjY3ZTJhY2I0M2FmY2ViOTI5ZjNmZGM2ZjgxYWUiLCJ1c2VySWQiOiIzODQ1NDI1NzcifQ==</vt:lpwstr>
  </property>
</Properties>
</file>