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jc w:val="center"/>
        <w:rPr>
          <w:rFonts w:ascii="Times New Roman" w:eastAsia="楷体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（一）</w:t>
      </w:r>
      <w:r>
        <w:rPr>
          <w:rFonts w:hint="eastAsia" w:ascii="楷体_GB2312" w:eastAsia="楷体_GB2312"/>
          <w:b/>
          <w:sz w:val="32"/>
          <w:szCs w:val="32"/>
        </w:rPr>
        <w:t>项目概况</w:t>
      </w:r>
    </w:p>
    <w:p>
      <w:pPr>
        <w:spacing w:line="60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建设内容：工程以收集和转运各个乡镇生活垃圾、保护环境为主要目，收集的对象为：各个乡镇生活垃圾、可腐烂、不可腐烂及其他垃圾。根据本工程的服务对象，采用各镇区人口预测及垃圾产生量预测数据，并考虑乡镇建成区周边的村落，确定收集转运规模为：185吨/日。根据收集转运规模各乡镇拟购置垃圾转运设备，其中：车厢可卸载式垃圾车（3吨）；车厢可卸式勾臂垃圾车（25吨）；移动式垃圾压缩设备箱（22立方米）；垃圾箱（3立方米）；垃圾收集桶（家用）；轻型钢垃圾收集站（办公室一间18平方米，垃圾压缩间两间100平方米）；电动三轮保洁车60辆。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（二）项目绩效目标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产出指标完成情况分析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数量指标：各乡镇垃圾转运量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800吨，涉及乡镇垃圾设备维修及维护12台，涉及乡镇垃圾收集点12座。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质量指标：收集运营考核合格率将达到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时效指标：收集运营要及时完成。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成本指标：工程建设造价低于当地平均标准，降低运营成本。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社会效益: 覆盖人群</w:t>
      </w:r>
      <w:r>
        <w:rPr>
          <w:rFonts w:hint="eastAsia" w:ascii="仿宋_GB2312" w:eastAsia="仿宋_GB2312"/>
          <w:sz w:val="32"/>
          <w:szCs w:val="32"/>
          <w:lang w:eastAsia="zh-CN"/>
        </w:rPr>
        <w:t>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8万人，农村生活垃圾处理达标率大于等于90%。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可持续影响:</w:t>
      </w:r>
      <w:r>
        <w:rPr>
          <w:rFonts w:hint="eastAsia" w:ascii="仿宋_GB2312" w:eastAsia="仿宋_GB2312"/>
          <w:sz w:val="32"/>
          <w:szCs w:val="32"/>
          <w:lang w:eastAsia="zh-CN"/>
        </w:rPr>
        <w:t>农村生活垃圾无害化垃圾处理率大于等于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服务对象满意度: 覆盖人群、涉及企业等政策知晓率≥95%，满意率≥95%。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计划</w:t>
      </w:r>
      <w:r>
        <w:rPr>
          <w:rFonts w:hint="eastAsia" w:ascii="仿宋_GB2312" w:eastAsia="仿宋_GB2312"/>
          <w:sz w:val="32"/>
          <w:szCs w:val="32"/>
          <w:lang w:eastAsia="zh-CN"/>
        </w:rPr>
        <w:t>到位资金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125万元，实际到位资金125万元，均用于支付山丹县乡镇垃圾转运站运营维护费用。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、自评结论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项目建成后带来了一定的经济效益同时，对各乡镇的环境带来了一定的改善获得了广大群众的一致好评。</w:t>
      </w:r>
    </w:p>
    <w:p>
      <w:pPr>
        <w:numPr>
          <w:ilvl w:val="0"/>
          <w:numId w:val="0"/>
        </w:numPr>
        <w:tabs>
          <w:tab w:val="left" w:pos="886"/>
        </w:tabs>
        <w:spacing w:line="600" w:lineRule="exact"/>
        <w:ind w:firstLine="640" w:firstLineChars="200"/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、下一步改进工作的措施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加快城镇化发展速度，提高转运能力，提升城市基础设施服务能力，实现经济社会的可持续发展。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firstLine="420" w:firstLineChars="200"/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8096A8"/>
    <w:multiLevelType w:val="singleLevel"/>
    <w:tmpl w:val="D08096A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E24BA37"/>
    <w:multiLevelType w:val="singleLevel"/>
    <w:tmpl w:val="0E24BA37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77E89BA9"/>
    <w:multiLevelType w:val="singleLevel"/>
    <w:tmpl w:val="77E89BA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xZTc1MzRhMTgyMTU1ZGI3YzczNTk3MmMxY2I3YmM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ECA2393"/>
    <w:rsid w:val="0FB74611"/>
    <w:rsid w:val="2B250281"/>
    <w:rsid w:val="68DE1604"/>
    <w:rsid w:val="6FCF7F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547</Characters>
  <Lines>2</Lines>
  <Paragraphs>1</Paragraphs>
  <TotalTime>18</TotalTime>
  <ScaleCrop>false</ScaleCrop>
  <LinksUpToDate>false</LinksUpToDate>
  <CharactersWithSpaces>553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虎子</cp:lastModifiedBy>
  <cp:lastPrinted>2023-06-07T08:09:00Z</cp:lastPrinted>
  <dcterms:modified xsi:type="dcterms:W3CDTF">2023-12-22T09:02:35Z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9968702D0FF44435A221EADEC36EF3A1_13</vt:lpwstr>
  </property>
</Properties>
</file>