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6FA" w:rsidRDefault="00E631BD">
      <w:pPr>
        <w:pStyle w:val="a3"/>
        <w:spacing w:before="101"/>
        <w:ind w:left="639"/>
        <w:rPr>
          <w:sz w:val="28"/>
          <w:szCs w:val="28"/>
          <w:lang w:eastAsia="zh-CN"/>
        </w:rPr>
      </w:pPr>
      <w:bookmarkStart w:id="0" w:name="_GoBack"/>
      <w:bookmarkEnd w:id="0"/>
      <w:r>
        <w:rPr>
          <w:spacing w:val="-5"/>
          <w:sz w:val="28"/>
          <w:szCs w:val="28"/>
          <w:lang w:eastAsia="zh-CN"/>
        </w:rPr>
        <w:t>附表</w:t>
      </w:r>
      <w:r>
        <w:rPr>
          <w:spacing w:val="-5"/>
          <w:sz w:val="28"/>
          <w:szCs w:val="28"/>
          <w:lang w:eastAsia="zh-CN"/>
        </w:rPr>
        <w:t>2</w:t>
      </w:r>
    </w:p>
    <w:p w:rsidR="004746FA" w:rsidRDefault="00E631BD">
      <w:pPr>
        <w:jc w:val="center"/>
        <w:rPr>
          <w:rFonts w:ascii="宋体" w:eastAsia="宋体" w:hAnsi="宋体" w:cs="宋体"/>
          <w:b/>
          <w:bCs/>
          <w:sz w:val="32"/>
          <w:szCs w:val="32"/>
          <w:lang w:eastAsia="zh-CN"/>
        </w:rPr>
      </w:pPr>
      <w:r>
        <w:rPr>
          <w:rFonts w:ascii="宋体" w:eastAsia="宋体" w:hAnsi="宋体" w:cs="宋体" w:hint="eastAsia"/>
          <w:b/>
          <w:bCs/>
          <w:sz w:val="32"/>
          <w:szCs w:val="32"/>
          <w:lang w:eastAsia="zh-CN"/>
        </w:rPr>
        <w:t>山丹县信息化工作办公室</w:t>
      </w:r>
    </w:p>
    <w:p w:rsidR="004746FA" w:rsidRDefault="00E631BD">
      <w:pPr>
        <w:jc w:val="center"/>
        <w:rPr>
          <w:rFonts w:ascii="宋体" w:eastAsia="宋体" w:hAnsi="宋体" w:cs="宋体"/>
          <w:b/>
          <w:bCs/>
          <w:spacing w:val="3"/>
          <w:sz w:val="43"/>
          <w:szCs w:val="43"/>
          <w:lang w:eastAsia="zh-CN"/>
        </w:rPr>
      </w:pPr>
      <w:r>
        <w:rPr>
          <w:rFonts w:ascii="宋体" w:eastAsia="宋体" w:hAnsi="宋体" w:cs="宋体" w:hint="eastAsia"/>
          <w:b/>
          <w:bCs/>
          <w:sz w:val="32"/>
          <w:szCs w:val="32"/>
          <w:lang w:eastAsia="zh-CN"/>
        </w:rPr>
        <w:t>2023</w:t>
      </w:r>
      <w:r>
        <w:rPr>
          <w:rFonts w:ascii="宋体" w:eastAsia="宋体" w:hAnsi="宋体" w:cs="宋体" w:hint="eastAsia"/>
          <w:b/>
          <w:bCs/>
          <w:sz w:val="32"/>
          <w:szCs w:val="32"/>
          <w:lang w:eastAsia="zh-CN"/>
        </w:rPr>
        <w:t>年度</w:t>
      </w:r>
      <w:r>
        <w:rPr>
          <w:rFonts w:ascii="宋体" w:eastAsia="宋体" w:hAnsi="宋体" w:cs="宋体" w:hint="eastAsia"/>
          <w:b/>
          <w:bCs/>
          <w:sz w:val="32"/>
          <w:szCs w:val="32"/>
          <w:lang w:eastAsia="zh-CN"/>
        </w:rPr>
        <w:t>部门</w:t>
      </w:r>
      <w:r>
        <w:rPr>
          <w:rFonts w:ascii="宋体" w:eastAsia="宋体" w:hAnsi="宋体" w:cs="宋体" w:hint="eastAsia"/>
          <w:b/>
          <w:bCs/>
          <w:sz w:val="32"/>
          <w:szCs w:val="32"/>
          <w:lang w:eastAsia="zh-CN"/>
        </w:rPr>
        <w:t>(</w:t>
      </w:r>
      <w:r>
        <w:rPr>
          <w:rFonts w:ascii="宋体" w:eastAsia="宋体" w:hAnsi="宋体" w:cs="宋体" w:hint="eastAsia"/>
          <w:b/>
          <w:bCs/>
          <w:sz w:val="32"/>
          <w:szCs w:val="32"/>
          <w:lang w:eastAsia="zh-CN"/>
        </w:rPr>
        <w:t>单位</w:t>
      </w:r>
      <w:r>
        <w:rPr>
          <w:rFonts w:ascii="宋体" w:eastAsia="宋体" w:hAnsi="宋体" w:cs="宋体" w:hint="eastAsia"/>
          <w:b/>
          <w:bCs/>
          <w:sz w:val="32"/>
          <w:szCs w:val="32"/>
          <w:lang w:eastAsia="zh-CN"/>
        </w:rPr>
        <w:t>)</w:t>
      </w:r>
      <w:r>
        <w:rPr>
          <w:rFonts w:ascii="宋体" w:eastAsia="宋体" w:hAnsi="宋体" w:cs="宋体" w:hint="eastAsia"/>
          <w:b/>
          <w:bCs/>
          <w:sz w:val="32"/>
          <w:szCs w:val="32"/>
          <w:lang w:eastAsia="zh-CN"/>
        </w:rPr>
        <w:t>整体支出</w:t>
      </w:r>
      <w:r>
        <w:rPr>
          <w:rFonts w:ascii="宋体" w:eastAsia="宋体" w:hAnsi="宋体" w:cs="宋体" w:hint="eastAsia"/>
          <w:b/>
          <w:bCs/>
          <w:sz w:val="32"/>
          <w:szCs w:val="32"/>
          <w:lang w:eastAsia="zh-CN"/>
        </w:rPr>
        <w:t>绩效评价</w:t>
      </w:r>
      <w:r>
        <w:rPr>
          <w:rFonts w:ascii="宋体" w:eastAsia="宋体" w:hAnsi="宋体" w:cs="宋体"/>
          <w:b/>
          <w:bCs/>
          <w:spacing w:val="3"/>
          <w:sz w:val="32"/>
          <w:szCs w:val="32"/>
          <w:lang w:eastAsia="zh-CN"/>
        </w:rPr>
        <w:t>问题清单</w:t>
      </w:r>
    </w:p>
    <w:p w:rsidR="004746FA" w:rsidRDefault="004746FA">
      <w:pPr>
        <w:spacing w:line="120" w:lineRule="exact"/>
        <w:rPr>
          <w:rFonts w:ascii="宋体" w:eastAsia="宋体" w:hAnsi="宋体" w:cs="宋体"/>
          <w:b/>
          <w:bCs/>
          <w:spacing w:val="3"/>
          <w:sz w:val="43"/>
          <w:szCs w:val="43"/>
          <w:lang w:eastAsia="zh-CN"/>
        </w:rPr>
      </w:pPr>
    </w:p>
    <w:p w:rsidR="004746FA" w:rsidRDefault="004746FA">
      <w:pPr>
        <w:spacing w:line="120" w:lineRule="exact"/>
        <w:rPr>
          <w:rFonts w:ascii="宋体" w:eastAsia="宋体" w:hAnsi="宋体" w:cs="宋体"/>
          <w:b/>
          <w:bCs/>
          <w:spacing w:val="3"/>
          <w:sz w:val="43"/>
          <w:szCs w:val="43"/>
          <w:lang w:eastAsia="zh-CN"/>
        </w:rPr>
      </w:pPr>
    </w:p>
    <w:tbl>
      <w:tblPr>
        <w:tblStyle w:val="TableNormal"/>
        <w:tblW w:w="4876"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1871"/>
        <w:gridCol w:w="844"/>
        <w:gridCol w:w="6359"/>
      </w:tblGrid>
      <w:tr w:rsidR="0058212C" w:rsidTr="0058212C">
        <w:trPr>
          <w:trHeight w:val="957"/>
        </w:trPr>
        <w:tc>
          <w:tcPr>
            <w:tcW w:w="1031" w:type="pct"/>
          </w:tcPr>
          <w:p w:rsidR="0058212C" w:rsidRDefault="0058212C">
            <w:pPr>
              <w:spacing w:line="244" w:lineRule="auto"/>
              <w:jc w:val="center"/>
              <w:rPr>
                <w:rFonts w:ascii="仿宋_GB2312" w:eastAsia="仿宋_GB2312" w:hAnsi="仿宋_GB2312" w:cs="仿宋_GB2312"/>
                <w:sz w:val="20"/>
                <w:szCs w:val="20"/>
                <w:lang w:eastAsia="zh-CN"/>
              </w:rPr>
            </w:pPr>
          </w:p>
          <w:p w:rsidR="0058212C" w:rsidRDefault="0058212C">
            <w:pPr>
              <w:spacing w:before="91" w:line="221" w:lineRule="auto"/>
              <w:jc w:val="center"/>
              <w:rPr>
                <w:rFonts w:ascii="仿宋_GB2312" w:eastAsia="仿宋_GB2312" w:hAnsi="仿宋_GB2312" w:cs="仿宋_GB2312"/>
                <w:sz w:val="24"/>
                <w:szCs w:val="24"/>
              </w:rPr>
            </w:pPr>
            <w:r>
              <w:rPr>
                <w:rFonts w:ascii="仿宋_GB2312" w:eastAsia="仿宋_GB2312" w:hAnsi="仿宋_GB2312" w:cs="仿宋_GB2312" w:hint="eastAsia"/>
                <w:spacing w:val="-13"/>
                <w:sz w:val="24"/>
                <w:szCs w:val="24"/>
              </w:rPr>
              <w:t>问题分类</w:t>
            </w:r>
          </w:p>
        </w:tc>
        <w:tc>
          <w:tcPr>
            <w:tcW w:w="465" w:type="pct"/>
          </w:tcPr>
          <w:p w:rsidR="0058212C" w:rsidRDefault="0058212C">
            <w:pPr>
              <w:spacing w:line="244" w:lineRule="auto"/>
              <w:jc w:val="center"/>
              <w:rPr>
                <w:rFonts w:ascii="仿宋_GB2312" w:eastAsia="仿宋_GB2312" w:hAnsi="仿宋_GB2312" w:cs="仿宋_GB2312"/>
                <w:sz w:val="20"/>
                <w:szCs w:val="20"/>
              </w:rPr>
            </w:pPr>
          </w:p>
          <w:p w:rsidR="0058212C" w:rsidRDefault="0058212C">
            <w:pPr>
              <w:spacing w:before="91" w:line="222" w:lineRule="auto"/>
              <w:jc w:val="center"/>
              <w:rPr>
                <w:rFonts w:ascii="仿宋_GB2312" w:eastAsia="仿宋_GB2312" w:hAnsi="仿宋_GB2312" w:cs="仿宋_GB2312"/>
                <w:sz w:val="24"/>
                <w:szCs w:val="24"/>
              </w:rPr>
            </w:pPr>
            <w:r>
              <w:rPr>
                <w:rFonts w:ascii="仿宋_GB2312" w:eastAsia="仿宋_GB2312" w:hAnsi="仿宋_GB2312" w:cs="仿宋_GB2312" w:hint="eastAsia"/>
                <w:spacing w:val="-5"/>
                <w:sz w:val="24"/>
                <w:szCs w:val="24"/>
              </w:rPr>
              <w:t>序号</w:t>
            </w:r>
          </w:p>
        </w:tc>
        <w:tc>
          <w:tcPr>
            <w:tcW w:w="3504" w:type="pct"/>
          </w:tcPr>
          <w:p w:rsidR="0058212C" w:rsidRDefault="0058212C">
            <w:pPr>
              <w:spacing w:line="244" w:lineRule="auto"/>
              <w:jc w:val="center"/>
              <w:rPr>
                <w:rFonts w:ascii="仿宋_GB2312" w:eastAsia="仿宋_GB2312" w:hAnsi="仿宋_GB2312" w:cs="仿宋_GB2312"/>
                <w:sz w:val="20"/>
                <w:szCs w:val="20"/>
              </w:rPr>
            </w:pPr>
          </w:p>
          <w:p w:rsidR="0058212C" w:rsidRDefault="0058212C">
            <w:pPr>
              <w:spacing w:before="91" w:line="223" w:lineRule="auto"/>
              <w:jc w:val="center"/>
              <w:rPr>
                <w:rFonts w:ascii="仿宋_GB2312" w:eastAsia="仿宋_GB2312" w:hAnsi="仿宋_GB2312" w:cs="仿宋_GB2312"/>
                <w:sz w:val="24"/>
                <w:szCs w:val="24"/>
              </w:rPr>
            </w:pPr>
            <w:r>
              <w:rPr>
                <w:rFonts w:ascii="仿宋_GB2312" w:eastAsia="仿宋_GB2312" w:hAnsi="仿宋_GB2312" w:cs="仿宋_GB2312" w:hint="eastAsia"/>
                <w:spacing w:val="-13"/>
                <w:sz w:val="24"/>
                <w:szCs w:val="24"/>
              </w:rPr>
              <w:t>问题描述</w:t>
            </w:r>
          </w:p>
        </w:tc>
      </w:tr>
      <w:tr w:rsidR="0058212C" w:rsidTr="0058212C">
        <w:trPr>
          <w:trHeight w:val="1329"/>
        </w:trPr>
        <w:tc>
          <w:tcPr>
            <w:tcW w:w="1031" w:type="pct"/>
            <w:tcBorders>
              <w:bottom w:val="nil"/>
            </w:tcBorders>
            <w:vAlign w:val="center"/>
          </w:tcPr>
          <w:p w:rsidR="0058212C" w:rsidRDefault="0058212C">
            <w:pPr>
              <w:spacing w:line="373" w:lineRule="auto"/>
              <w:jc w:val="center"/>
              <w:rPr>
                <w:rFonts w:ascii="仿宋_GB2312" w:eastAsia="仿宋_GB2312" w:hAnsi="仿宋_GB2312" w:cs="仿宋_GB2312"/>
                <w:sz w:val="24"/>
                <w:szCs w:val="24"/>
                <w:lang w:eastAsia="zh-CN"/>
              </w:rPr>
            </w:pPr>
          </w:p>
          <w:p w:rsidR="0058212C" w:rsidRDefault="0058212C">
            <w:pPr>
              <w:pStyle w:val="TableText"/>
              <w:spacing w:before="78" w:line="230" w:lineRule="auto"/>
              <w:ind w:left="124" w:right="296"/>
              <w:jc w:val="center"/>
              <w:rPr>
                <w:rFonts w:ascii="仿宋_GB2312" w:eastAsia="仿宋_GB2312" w:hAnsi="仿宋_GB2312" w:cs="仿宋_GB2312"/>
                <w:sz w:val="24"/>
                <w:szCs w:val="24"/>
                <w:lang w:eastAsia="zh-CN"/>
              </w:rPr>
            </w:pPr>
            <w:r>
              <w:rPr>
                <w:rFonts w:ascii="仿宋_GB2312" w:eastAsia="仿宋_GB2312" w:hAnsi="仿宋_GB2312" w:cs="仿宋_GB2312" w:hint="eastAsia"/>
                <w:spacing w:val="-3"/>
                <w:sz w:val="24"/>
                <w:szCs w:val="24"/>
                <w:lang w:eastAsia="zh-CN"/>
              </w:rPr>
              <w:t>部门决策方面存</w:t>
            </w:r>
            <w:r>
              <w:rPr>
                <w:rFonts w:ascii="仿宋_GB2312" w:eastAsia="仿宋_GB2312" w:hAnsi="仿宋_GB2312" w:cs="仿宋_GB2312" w:hint="eastAsia"/>
                <w:spacing w:val="-4"/>
                <w:sz w:val="24"/>
                <w:szCs w:val="24"/>
                <w:lang w:eastAsia="zh-CN"/>
              </w:rPr>
              <w:t>在的问题</w:t>
            </w:r>
          </w:p>
        </w:tc>
        <w:tc>
          <w:tcPr>
            <w:tcW w:w="465" w:type="pct"/>
            <w:vAlign w:val="center"/>
          </w:tcPr>
          <w:p w:rsidR="0058212C" w:rsidRDefault="0058212C">
            <w:pPr>
              <w:pStyle w:val="TableText"/>
              <w:spacing w:before="166" w:line="180" w:lineRule="auto"/>
              <w:jc w:val="center"/>
              <w:rPr>
                <w:rFonts w:ascii="仿宋_GB2312" w:eastAsia="仿宋_GB2312" w:hAnsi="仿宋_GB2312" w:cs="仿宋_GB2312"/>
              </w:rPr>
            </w:pPr>
            <w:r>
              <w:rPr>
                <w:rFonts w:ascii="仿宋_GB2312" w:eastAsia="仿宋_GB2312" w:hAnsi="仿宋_GB2312" w:cs="仿宋_GB2312" w:hint="eastAsia"/>
              </w:rPr>
              <w:t>1</w:t>
            </w:r>
          </w:p>
        </w:tc>
        <w:tc>
          <w:tcPr>
            <w:tcW w:w="3504" w:type="pct"/>
          </w:tcPr>
          <w:p w:rsidR="0058212C" w:rsidRDefault="0058212C">
            <w:pPr>
              <w:rPr>
                <w:rFonts w:ascii="仿宋_GB2312" w:eastAsia="仿宋_GB2312" w:hAnsi="仿宋_GB2312" w:cs="仿宋_GB2312"/>
                <w:lang w:eastAsia="zh-CN"/>
              </w:rPr>
            </w:pPr>
            <w:r>
              <w:rPr>
                <w:rFonts w:ascii="仿宋_GB2312" w:eastAsia="仿宋_GB2312" w:hAnsi="仿宋_GB2312" w:cs="仿宋_GB2312" w:hint="eastAsia"/>
                <w:lang w:eastAsia="zh-CN"/>
              </w:rPr>
              <w:t>年度绩效指标明确性方面，山丹县信息化工作办公室在制定年度绩效指标时大部分项目能做到定量与定性相结合，但对一些定性指标没有进一步进行分级分档形式表述，如对于服务对象满意度指标，指标值为“良好”，但未表述“良好”所代表的具体分级数值。</w:t>
            </w:r>
          </w:p>
        </w:tc>
      </w:tr>
      <w:tr w:rsidR="0058212C" w:rsidTr="0058212C">
        <w:trPr>
          <w:trHeight w:val="1263"/>
        </w:trPr>
        <w:tc>
          <w:tcPr>
            <w:tcW w:w="1031" w:type="pct"/>
            <w:vMerge w:val="restart"/>
            <w:tcBorders>
              <w:top w:val="single" w:sz="2" w:space="0" w:color="000000"/>
              <w:bottom w:val="single" w:sz="2" w:space="0" w:color="000000"/>
            </w:tcBorders>
            <w:vAlign w:val="center"/>
          </w:tcPr>
          <w:p w:rsidR="0058212C" w:rsidRDefault="0058212C">
            <w:pPr>
              <w:pStyle w:val="TableText"/>
              <w:widowControl w:val="0"/>
              <w:spacing w:before="78" w:line="240" w:lineRule="atLeast"/>
              <w:ind w:right="296"/>
              <w:jc w:val="center"/>
              <w:rPr>
                <w:rFonts w:ascii="仿宋_GB2312" w:eastAsia="仿宋_GB2312" w:hAnsi="仿宋_GB2312" w:cs="仿宋_GB2312"/>
                <w:sz w:val="24"/>
                <w:szCs w:val="24"/>
                <w:lang w:eastAsia="zh-CN"/>
              </w:rPr>
            </w:pPr>
            <w:r>
              <w:rPr>
                <w:rFonts w:ascii="仿宋_GB2312" w:eastAsia="仿宋_GB2312" w:hAnsi="仿宋_GB2312" w:cs="仿宋_GB2312" w:hint="eastAsia"/>
                <w:spacing w:val="-5"/>
                <w:sz w:val="24"/>
                <w:szCs w:val="24"/>
                <w:lang w:eastAsia="zh-CN"/>
              </w:rPr>
              <w:t>部门管理方面存</w:t>
            </w:r>
            <w:r>
              <w:rPr>
                <w:rFonts w:ascii="仿宋_GB2312" w:eastAsia="仿宋_GB2312" w:hAnsi="仿宋_GB2312" w:cs="仿宋_GB2312" w:hint="eastAsia"/>
                <w:spacing w:val="-4"/>
                <w:sz w:val="24"/>
                <w:szCs w:val="24"/>
                <w:lang w:eastAsia="zh-CN"/>
              </w:rPr>
              <w:t>在的问题</w:t>
            </w:r>
          </w:p>
        </w:tc>
        <w:tc>
          <w:tcPr>
            <w:tcW w:w="465" w:type="pct"/>
            <w:tcBorders>
              <w:top w:val="single" w:sz="2" w:space="0" w:color="000000"/>
              <w:bottom w:val="single" w:sz="2" w:space="0" w:color="000000"/>
            </w:tcBorders>
            <w:vAlign w:val="center"/>
          </w:tcPr>
          <w:p w:rsidR="0058212C" w:rsidRDefault="0058212C">
            <w:pPr>
              <w:pStyle w:val="TableText"/>
              <w:spacing w:before="165" w:line="180" w:lineRule="auto"/>
              <w:jc w:val="center"/>
              <w:rPr>
                <w:rFonts w:ascii="仿宋_GB2312" w:eastAsia="仿宋_GB2312" w:hAnsi="仿宋_GB2312" w:cs="仿宋_GB2312"/>
              </w:rPr>
            </w:pPr>
            <w:r>
              <w:rPr>
                <w:rFonts w:ascii="仿宋_GB2312" w:eastAsia="仿宋_GB2312" w:hAnsi="仿宋_GB2312" w:cs="仿宋_GB2312" w:hint="eastAsia"/>
              </w:rPr>
              <w:t>1</w:t>
            </w:r>
          </w:p>
        </w:tc>
        <w:tc>
          <w:tcPr>
            <w:tcW w:w="3504" w:type="pct"/>
          </w:tcPr>
          <w:p w:rsidR="0058212C" w:rsidRDefault="0058212C">
            <w:pPr>
              <w:rPr>
                <w:rFonts w:ascii="仿宋_GB2312" w:eastAsia="仿宋_GB2312" w:hAnsi="仿宋_GB2312" w:cs="仿宋_GB2312"/>
                <w:lang w:eastAsia="zh-CN"/>
              </w:rPr>
            </w:pPr>
            <w:r>
              <w:rPr>
                <w:rFonts w:ascii="仿宋_GB2312" w:eastAsia="仿宋_GB2312" w:hAnsi="仿宋_GB2312" w:cs="仿宋_GB2312" w:hint="eastAsia"/>
                <w:lang w:eastAsia="zh-CN"/>
              </w:rPr>
              <w:t>财务管理制度方面，山丹县信息化工作办公室制定了《财务管理制度》《预算管理制度》《收支管理制度》《物资采购制度》《合同管理制度》《资产管理制度》《项目管理制度》，但未制定有关往来资金结算管理及财务监督管理方面的管理制度。</w:t>
            </w:r>
          </w:p>
        </w:tc>
      </w:tr>
      <w:tr w:rsidR="0058212C" w:rsidTr="0058212C">
        <w:trPr>
          <w:trHeight w:val="1267"/>
        </w:trPr>
        <w:tc>
          <w:tcPr>
            <w:tcW w:w="1031" w:type="pct"/>
            <w:vMerge/>
            <w:tcBorders>
              <w:top w:val="single" w:sz="2" w:space="0" w:color="000000"/>
              <w:bottom w:val="single" w:sz="4" w:space="0" w:color="auto"/>
            </w:tcBorders>
            <w:vAlign w:val="center"/>
          </w:tcPr>
          <w:p w:rsidR="0058212C" w:rsidRDefault="0058212C">
            <w:pPr>
              <w:widowControl w:val="0"/>
              <w:spacing w:line="240" w:lineRule="atLeast"/>
              <w:jc w:val="center"/>
              <w:rPr>
                <w:rFonts w:ascii="仿宋_GB2312" w:eastAsia="仿宋_GB2312" w:hAnsi="仿宋_GB2312" w:cs="仿宋_GB2312"/>
                <w:sz w:val="24"/>
                <w:szCs w:val="24"/>
                <w:lang w:eastAsia="zh-CN"/>
              </w:rPr>
            </w:pPr>
          </w:p>
        </w:tc>
        <w:tc>
          <w:tcPr>
            <w:tcW w:w="465" w:type="pct"/>
            <w:tcBorders>
              <w:top w:val="single" w:sz="2" w:space="0" w:color="000000"/>
            </w:tcBorders>
            <w:vAlign w:val="center"/>
          </w:tcPr>
          <w:p w:rsidR="0058212C" w:rsidRDefault="0058212C">
            <w:pPr>
              <w:pStyle w:val="TableText"/>
              <w:spacing w:before="168" w:line="179" w:lineRule="auto"/>
              <w:jc w:val="center"/>
              <w:rPr>
                <w:rFonts w:ascii="仿宋_GB2312" w:eastAsia="仿宋_GB2312" w:hAnsi="仿宋_GB2312" w:cs="仿宋_GB2312"/>
              </w:rPr>
            </w:pPr>
            <w:r>
              <w:rPr>
                <w:rFonts w:ascii="仿宋_GB2312" w:eastAsia="仿宋_GB2312" w:hAnsi="仿宋_GB2312" w:cs="仿宋_GB2312" w:hint="eastAsia"/>
              </w:rPr>
              <w:t>2</w:t>
            </w:r>
          </w:p>
        </w:tc>
        <w:tc>
          <w:tcPr>
            <w:tcW w:w="3504" w:type="pct"/>
          </w:tcPr>
          <w:p w:rsidR="0058212C" w:rsidRDefault="0058212C">
            <w:pPr>
              <w:rPr>
                <w:rFonts w:ascii="仿宋_GB2312" w:eastAsia="仿宋_GB2312" w:hAnsi="仿宋_GB2312" w:cs="仿宋_GB2312"/>
                <w:lang w:eastAsia="zh-CN"/>
              </w:rPr>
            </w:pPr>
            <w:r>
              <w:rPr>
                <w:rFonts w:ascii="仿宋_GB2312" w:eastAsia="仿宋_GB2312" w:hAnsi="仿宋_GB2312" w:cs="仿宋_GB2312" w:hint="eastAsia"/>
                <w:lang w:eastAsia="zh-CN"/>
              </w:rPr>
              <w:t>资产管理方面，山丹县信息化工作办公室制定了《资产管理制度》，但该制度内容不健全，没有关于资产的管理职责、资产管理作业流程等内容。此外，该制度规定每年对实物资产年末进行清查盘点，但并未实施。</w:t>
            </w:r>
          </w:p>
        </w:tc>
      </w:tr>
      <w:tr w:rsidR="0058212C" w:rsidTr="0058212C">
        <w:trPr>
          <w:trHeight w:val="1564"/>
        </w:trPr>
        <w:tc>
          <w:tcPr>
            <w:tcW w:w="1031" w:type="pct"/>
            <w:tcBorders>
              <w:top w:val="single" w:sz="4" w:space="0" w:color="auto"/>
              <w:bottom w:val="single" w:sz="4" w:space="0" w:color="auto"/>
            </w:tcBorders>
            <w:vAlign w:val="center"/>
          </w:tcPr>
          <w:p w:rsidR="0058212C" w:rsidRDefault="0058212C">
            <w:pPr>
              <w:pStyle w:val="TableText"/>
              <w:widowControl w:val="0"/>
              <w:spacing w:before="78" w:line="240" w:lineRule="atLeast"/>
              <w:ind w:right="296"/>
              <w:jc w:val="center"/>
              <w:rPr>
                <w:rFonts w:ascii="仿宋_GB2312" w:eastAsia="仿宋_GB2312" w:hAnsi="仿宋_GB2312" w:cs="仿宋_GB2312"/>
                <w:sz w:val="24"/>
                <w:szCs w:val="24"/>
                <w:lang w:eastAsia="zh-CN"/>
              </w:rPr>
            </w:pPr>
            <w:r>
              <w:rPr>
                <w:rFonts w:ascii="仿宋_GB2312" w:eastAsia="仿宋_GB2312" w:hAnsi="仿宋_GB2312" w:cs="仿宋_GB2312" w:hint="eastAsia"/>
                <w:spacing w:val="-3"/>
                <w:sz w:val="24"/>
                <w:szCs w:val="24"/>
                <w:lang w:eastAsia="zh-CN"/>
              </w:rPr>
              <w:t>部门履职方面存</w:t>
            </w:r>
            <w:r>
              <w:rPr>
                <w:rFonts w:ascii="仿宋_GB2312" w:eastAsia="仿宋_GB2312" w:hAnsi="仿宋_GB2312" w:cs="仿宋_GB2312" w:hint="eastAsia"/>
                <w:spacing w:val="-4"/>
                <w:sz w:val="24"/>
                <w:szCs w:val="24"/>
                <w:lang w:eastAsia="zh-CN"/>
              </w:rPr>
              <w:t>在的问题</w:t>
            </w:r>
          </w:p>
        </w:tc>
        <w:tc>
          <w:tcPr>
            <w:tcW w:w="465" w:type="pct"/>
            <w:vAlign w:val="center"/>
          </w:tcPr>
          <w:p w:rsidR="0058212C" w:rsidRDefault="0058212C">
            <w:pPr>
              <w:pStyle w:val="TableText"/>
              <w:spacing w:before="167" w:line="180" w:lineRule="auto"/>
              <w:jc w:val="center"/>
              <w:rPr>
                <w:rFonts w:ascii="仿宋_GB2312" w:eastAsia="仿宋_GB2312" w:hAnsi="仿宋_GB2312" w:cs="仿宋_GB2312"/>
              </w:rPr>
            </w:pPr>
            <w:r>
              <w:rPr>
                <w:rFonts w:ascii="仿宋_GB2312" w:eastAsia="仿宋_GB2312" w:hAnsi="仿宋_GB2312" w:cs="仿宋_GB2312" w:hint="eastAsia"/>
              </w:rPr>
              <w:t>1</w:t>
            </w:r>
          </w:p>
        </w:tc>
        <w:tc>
          <w:tcPr>
            <w:tcW w:w="3504" w:type="pct"/>
          </w:tcPr>
          <w:p w:rsidR="0058212C" w:rsidRDefault="0058212C">
            <w:pPr>
              <w:rPr>
                <w:rFonts w:ascii="仿宋_GB2312" w:eastAsia="仿宋_GB2312" w:hAnsi="仿宋_GB2312" w:cs="仿宋_GB2312"/>
                <w:lang w:eastAsia="zh-CN"/>
              </w:rPr>
            </w:pPr>
            <w:r>
              <w:rPr>
                <w:rFonts w:ascii="仿宋_GB2312" w:eastAsia="仿宋_GB2312" w:hAnsi="仿宋_GB2312" w:cs="仿宋_GB2312" w:hint="eastAsia"/>
                <w:lang w:eastAsia="zh-CN"/>
              </w:rPr>
              <w:t>重点工作未按期办结，山丹县信息化工作办公室2023年计划实施的4个重点项目，其中：“智慧城市建设”项目，该工程自2022年1月开工实施，原计划2023年5月建成，由于建设资金筹集、系统优化完善等原因，未能按计划时间完成项目验收，2023年11月完工项目初验后投入试运行，但截止本次绩效评价时仍未按规定办理项目竣工财务决算。</w:t>
            </w:r>
          </w:p>
        </w:tc>
      </w:tr>
    </w:tbl>
    <w:p w:rsidR="004746FA" w:rsidRDefault="004746FA"/>
    <w:sectPr w:rsidR="004746FA" w:rsidSect="004746FA">
      <w:pgSz w:w="11906" w:h="16838"/>
      <w:pgMar w:top="1361" w:right="1020" w:bottom="1361"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1BD" w:rsidRDefault="00E631BD">
      <w:r>
        <w:separator/>
      </w:r>
    </w:p>
  </w:endnote>
  <w:endnote w:type="continuationSeparator" w:id="1">
    <w:p w:rsidR="00E631BD" w:rsidRDefault="00E631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1BD" w:rsidRDefault="00E631BD">
      <w:r>
        <w:separator/>
      </w:r>
    </w:p>
  </w:footnote>
  <w:footnote w:type="continuationSeparator" w:id="1">
    <w:p w:rsidR="00E631BD" w:rsidRDefault="00E631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NlZDAyNDRjNjNhMDQ2NGIzYjY3YTQ3NTI1ODVjZjYifQ=="/>
  </w:docVars>
  <w:rsids>
    <w:rsidRoot w:val="44037C02"/>
    <w:rsid w:val="004746FA"/>
    <w:rsid w:val="0058212C"/>
    <w:rsid w:val="00E631BD"/>
    <w:rsid w:val="024F6AE5"/>
    <w:rsid w:val="04DE21B6"/>
    <w:rsid w:val="057E5747"/>
    <w:rsid w:val="073701F0"/>
    <w:rsid w:val="0DB02216"/>
    <w:rsid w:val="10947BCD"/>
    <w:rsid w:val="11E91D0D"/>
    <w:rsid w:val="1AD5513E"/>
    <w:rsid w:val="2016319B"/>
    <w:rsid w:val="22FE5BB6"/>
    <w:rsid w:val="28711940"/>
    <w:rsid w:val="2C3D33B6"/>
    <w:rsid w:val="2E6469D8"/>
    <w:rsid w:val="339C79C4"/>
    <w:rsid w:val="390A6BB8"/>
    <w:rsid w:val="44037C02"/>
    <w:rsid w:val="53756FEE"/>
    <w:rsid w:val="54C74F61"/>
    <w:rsid w:val="696663CC"/>
    <w:rsid w:val="6DBA0B69"/>
    <w:rsid w:val="79DD6F96"/>
    <w:rsid w:val="7B3C30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4746FA"/>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4746FA"/>
    <w:rPr>
      <w:rFonts w:ascii="仿宋" w:eastAsia="仿宋" w:hAnsi="仿宋" w:cs="仿宋"/>
      <w:sz w:val="31"/>
      <w:szCs w:val="31"/>
    </w:rPr>
  </w:style>
  <w:style w:type="table" w:customStyle="1" w:styleId="TableNormal">
    <w:name w:val="Table Normal"/>
    <w:semiHidden/>
    <w:unhideWhenUsed/>
    <w:qFormat/>
    <w:rsid w:val="004746FA"/>
    <w:tblPr>
      <w:tblCellMar>
        <w:top w:w="0" w:type="dxa"/>
        <w:left w:w="0" w:type="dxa"/>
        <w:bottom w:w="0" w:type="dxa"/>
        <w:right w:w="0" w:type="dxa"/>
      </w:tblCellMar>
    </w:tblPr>
  </w:style>
  <w:style w:type="paragraph" w:customStyle="1" w:styleId="TableText">
    <w:name w:val="Table Text"/>
    <w:basedOn w:val="a"/>
    <w:semiHidden/>
    <w:qFormat/>
    <w:rsid w:val="004746FA"/>
    <w:rPr>
      <w:rFonts w:ascii="仿宋" w:eastAsia="仿宋" w:hAnsi="仿宋" w:cs="仿宋"/>
      <w:sz w:val="22"/>
      <w:szCs w:val="22"/>
    </w:rPr>
  </w:style>
  <w:style w:type="paragraph" w:styleId="a4">
    <w:name w:val="header"/>
    <w:basedOn w:val="a"/>
    <w:link w:val="Char"/>
    <w:rsid w:val="0058212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rsid w:val="0058212C"/>
    <w:rPr>
      <w:rFonts w:ascii="Arial" w:eastAsia="Arial" w:hAnsi="Arial" w:cs="Arial"/>
      <w:snapToGrid w:val="0"/>
      <w:color w:val="000000"/>
      <w:sz w:val="18"/>
      <w:szCs w:val="18"/>
      <w:lang w:eastAsia="en-US"/>
    </w:rPr>
  </w:style>
  <w:style w:type="paragraph" w:styleId="a5">
    <w:name w:val="footer"/>
    <w:basedOn w:val="a"/>
    <w:link w:val="Char0"/>
    <w:rsid w:val="0058212C"/>
    <w:pPr>
      <w:tabs>
        <w:tab w:val="center" w:pos="4153"/>
        <w:tab w:val="right" w:pos="8306"/>
      </w:tabs>
    </w:pPr>
    <w:rPr>
      <w:sz w:val="18"/>
      <w:szCs w:val="18"/>
    </w:rPr>
  </w:style>
  <w:style w:type="character" w:customStyle="1" w:styleId="Char0">
    <w:name w:val="页脚 Char"/>
    <w:basedOn w:val="a0"/>
    <w:link w:val="a5"/>
    <w:rsid w:val="0058212C"/>
    <w:rPr>
      <w:rFonts w:ascii="Arial" w:eastAsia="Arial"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506</Characters>
  <Application>Microsoft Office Word</Application>
  <DocSecurity>0</DocSecurity>
  <Lines>4</Lines>
  <Paragraphs>1</Paragraphs>
  <ScaleCrop>false</ScaleCrop>
  <Company>Micorosoft</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Micorosoft</cp:lastModifiedBy>
  <cp:revision>2</cp:revision>
  <dcterms:created xsi:type="dcterms:W3CDTF">2024-09-10T09:13:00Z</dcterms:created>
  <dcterms:modified xsi:type="dcterms:W3CDTF">2024-09-19T07:14:00Z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208D1C009C7D1C603298EB6678176453</vt:lpwstr>
  </property>
</Properties>
</file>