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黑体" w:hAnsi="黑体" w:eastAsia="黑体" w:cs="黑体"/>
          <w:b/>
          <w:bCs/>
          <w:snapToGrid/>
          <w:color w:val="000000"/>
          <w:kern w:val="2"/>
          <w:sz w:val="44"/>
          <w:szCs w:val="44"/>
          <w:highlight w:val="none"/>
          <w:lang w:val="en-US" w:eastAsia="zh-CN"/>
        </w:rPr>
      </w:pPr>
      <w:r>
        <w:rPr>
          <w:rFonts w:hint="eastAsia" w:ascii="黑体" w:hAnsi="黑体" w:eastAsia="黑体" w:cs="黑体"/>
          <w:b/>
          <w:bCs/>
          <w:snapToGrid/>
          <w:color w:val="000000"/>
          <w:kern w:val="2"/>
          <w:sz w:val="44"/>
          <w:szCs w:val="44"/>
          <w:highlight w:val="none"/>
          <w:lang w:val="en-US" w:eastAsia="zh-CN"/>
        </w:rPr>
        <w:t>山丹县2023年度困难群众（夏季）物资采购（政府采购项目）绩效评价报告</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bCs/>
          <w:snapToGrid/>
          <w:color w:val="000000"/>
          <w:kern w:val="2"/>
          <w:sz w:val="32"/>
          <w:szCs w:val="32"/>
          <w:highlight w:val="none"/>
          <w:lang w:val="en-US" w:eastAsia="zh-CN"/>
        </w:rPr>
      </w:pPr>
      <w:r>
        <w:rPr>
          <w:rFonts w:hint="eastAsia" w:ascii="黑体" w:hAnsi="黑体" w:eastAsia="黑体" w:cs="黑体"/>
          <w:b/>
          <w:bCs/>
          <w:snapToGrid/>
          <w:color w:val="000000"/>
          <w:kern w:val="2"/>
          <w:sz w:val="32"/>
          <w:szCs w:val="32"/>
          <w:highlight w:val="none"/>
          <w:lang w:val="en-US" w:eastAsia="zh-CN"/>
        </w:rPr>
        <w:t xml:space="preserve">  </w:t>
      </w:r>
    </w:p>
    <w:p>
      <w:pPr>
        <w:keepNext w:val="0"/>
        <w:keepLines w:val="0"/>
        <w:pageBreakBefore w:val="0"/>
        <w:widowControl/>
        <w:suppressLineNumbers w:val="0"/>
        <w:pBdr>
          <w:top w:val="none" w:color="000000" w:sz="0" w:space="0"/>
        </w:pBdr>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snapToGrid/>
          <w:color w:val="000000"/>
          <w:kern w:val="2"/>
          <w:sz w:val="28"/>
          <w:szCs w:val="28"/>
          <w:highlight w:val="none"/>
          <w:lang w:val="en-US" w:eastAsia="zh-CN"/>
        </w:rPr>
      </w:pPr>
      <w:r>
        <w:rPr>
          <w:rFonts w:hint="eastAsia" w:ascii="仿宋" w:hAnsi="仿宋" w:eastAsia="仿宋" w:cs="仿宋"/>
          <w:b/>
          <w:bCs/>
          <w:snapToGrid/>
          <w:color w:val="000000"/>
          <w:kern w:val="2"/>
          <w:sz w:val="28"/>
          <w:szCs w:val="28"/>
          <w:highlight w:val="none"/>
          <w:lang w:val="en-US" w:eastAsia="zh-CN" w:bidi="ar-SA"/>
        </w:rPr>
        <w:t>一、项目基本情况</w:t>
      </w:r>
    </w:p>
    <w:p>
      <w:pPr>
        <w:spacing w:line="84" w:lineRule="exact"/>
        <w:rPr>
          <w:rFonts w:hint="eastAsia" w:ascii="仿宋" w:hAnsi="仿宋" w:eastAsia="仿宋" w:cs="仿宋"/>
          <w:sz w:val="28"/>
          <w:szCs w:val="28"/>
        </w:rPr>
      </w:pPr>
    </w:p>
    <w:tbl>
      <w:tblPr>
        <w:tblStyle w:val="10"/>
        <w:tblW w:w="9807"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84"/>
        <w:gridCol w:w="2102"/>
        <w:gridCol w:w="2252"/>
        <w:gridCol w:w="1931"/>
        <w:gridCol w:w="24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19" w:hRule="atLeast"/>
          <w:jc w:val="center"/>
        </w:trPr>
        <w:tc>
          <w:tcPr>
            <w:tcW w:w="1084" w:type="dxa"/>
            <w:vMerge w:val="restart"/>
            <w:tcBorders>
              <w:tl2br w:val="nil"/>
              <w:tr2bl w:val="nil"/>
            </w:tcBorders>
            <w:noWrap w:val="0"/>
            <w:textDirection w:val="tbRlV"/>
            <w:vAlign w:val="center"/>
          </w:tcPr>
          <w:p>
            <w:pPr>
              <w:pStyle w:val="9"/>
              <w:spacing w:before="227" w:line="209" w:lineRule="auto"/>
              <w:ind w:left="583"/>
              <w:jc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基 本 情 况</w:t>
            </w:r>
          </w:p>
        </w:tc>
        <w:tc>
          <w:tcPr>
            <w:tcW w:w="2102"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项目名称</w:t>
            </w:r>
          </w:p>
        </w:tc>
        <w:tc>
          <w:tcPr>
            <w:tcW w:w="6621" w:type="dxa"/>
            <w:gridSpan w:val="3"/>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山丹县2023年度困难群众（夏季）</w:t>
            </w:r>
          </w:p>
          <w:p>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物资采购（政府采购项目）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1084" w:type="dxa"/>
            <w:vMerge w:val="continue"/>
            <w:tcBorders>
              <w:tl2br w:val="nil"/>
              <w:tr2bl w:val="nil"/>
            </w:tcBorders>
            <w:noWrap w:val="0"/>
            <w:textDirection w:val="tbRlV"/>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000000"/>
                <w:kern w:val="2"/>
                <w:sz w:val="28"/>
                <w:szCs w:val="28"/>
                <w:highlight w:val="none"/>
                <w:lang w:val="en-US" w:eastAsia="zh-CN" w:bidi="ar-SA"/>
              </w:rPr>
            </w:pPr>
          </w:p>
        </w:tc>
        <w:tc>
          <w:tcPr>
            <w:tcW w:w="21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评价年度</w:t>
            </w:r>
          </w:p>
        </w:tc>
        <w:tc>
          <w:tcPr>
            <w:tcW w:w="22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2023年度</w:t>
            </w:r>
          </w:p>
        </w:tc>
        <w:tc>
          <w:tcPr>
            <w:tcW w:w="19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评价类型</w:t>
            </w:r>
          </w:p>
        </w:tc>
        <w:tc>
          <w:tcPr>
            <w:tcW w:w="2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75" w:line="240" w:lineRule="auto"/>
              <w:jc w:val="center"/>
              <w:textAlignment w:val="center"/>
              <w:rPr>
                <w:rFonts w:hint="eastAsia"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财政评</w:t>
            </w:r>
            <w:r>
              <w:rPr>
                <w:rFonts w:hint="eastAsia" w:ascii="仿宋" w:hAnsi="仿宋" w:eastAsia="仿宋" w:cs="仿宋"/>
                <w:b w:val="0"/>
                <w:bCs w:val="0"/>
                <w:snapToGrid/>
                <w:color w:val="000000"/>
                <w:kern w:val="2"/>
                <w:sz w:val="28"/>
                <w:szCs w:val="28"/>
                <w:highlight w:val="none"/>
                <w:lang w:val="en-US" w:eastAsia="zh-CN" w:bidi="ar-SA"/>
              </w:rPr>
              <w:drawing>
                <wp:anchor distT="0" distB="0" distL="114300" distR="114300" simplePos="0" relativeHeight="251659264" behindDoc="1" locked="0" layoutInCell="1" allowOverlap="1">
                  <wp:simplePos x="0" y="0"/>
                  <wp:positionH relativeFrom="column">
                    <wp:posOffset>3307715</wp:posOffset>
                  </wp:positionH>
                  <wp:positionV relativeFrom="paragraph">
                    <wp:posOffset>33655</wp:posOffset>
                  </wp:positionV>
                  <wp:extent cx="2153920" cy="2451100"/>
                  <wp:effectExtent l="0" t="0" r="0" b="0"/>
                  <wp:wrapNone/>
                  <wp:docPr id="1" name="图片 17" descr="2021102018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7" descr="20211020181437"/>
                          <pic:cNvPicPr>
                            <a:picLocks noChangeAspect="1"/>
                          </pic:cNvPicPr>
                        </pic:nvPicPr>
                        <pic:blipFill>
                          <a:blip r:embed="rId7"/>
                          <a:stretch>
                            <a:fillRect/>
                          </a:stretch>
                        </pic:blipFill>
                        <pic:spPr>
                          <a:xfrm>
                            <a:off x="0" y="0"/>
                            <a:ext cx="2153920" cy="2451100"/>
                          </a:xfrm>
                          <a:prstGeom prst="rect">
                            <a:avLst/>
                          </a:prstGeom>
                          <a:noFill/>
                          <a:ln>
                            <a:noFill/>
                          </a:ln>
                        </pic:spPr>
                      </pic:pic>
                    </a:graphicData>
                  </a:graphic>
                </wp:anchor>
              </w:drawing>
            </w:r>
            <w:r>
              <w:rPr>
                <w:rFonts w:hint="eastAsia" w:ascii="仿宋" w:hAnsi="仿宋" w:eastAsia="仿宋" w:cs="仿宋"/>
                <w:b w:val="0"/>
                <w:bCs w:val="0"/>
                <w:snapToGrid/>
                <w:color w:val="000000"/>
                <w:kern w:val="2"/>
                <w:sz w:val="28"/>
                <w:szCs w:val="28"/>
                <w:highlight w:val="none"/>
                <w:lang w:val="en-US" w:eastAsia="zh-CN" w:bidi="ar-SA"/>
              </w:rPr>
              <w:t>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403" w:hRule="atLeast"/>
          <w:jc w:val="center"/>
        </w:trPr>
        <w:tc>
          <w:tcPr>
            <w:tcW w:w="1084" w:type="dxa"/>
            <w:vMerge w:val="continue"/>
            <w:tcBorders>
              <w:tl2br w:val="nil"/>
              <w:tr2bl w:val="nil"/>
            </w:tcBorders>
            <w:noWrap w:val="0"/>
            <w:textDirection w:val="tbRlV"/>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000000"/>
                <w:kern w:val="2"/>
                <w:sz w:val="28"/>
                <w:szCs w:val="28"/>
                <w:highlight w:val="none"/>
                <w:lang w:val="en-US" w:eastAsia="zh-CN" w:bidi="ar-SA"/>
              </w:rPr>
            </w:pPr>
          </w:p>
        </w:tc>
        <w:tc>
          <w:tcPr>
            <w:tcW w:w="21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委托单位</w:t>
            </w:r>
          </w:p>
        </w:tc>
        <w:tc>
          <w:tcPr>
            <w:tcW w:w="22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山丹县财政局</w:t>
            </w:r>
          </w:p>
        </w:tc>
        <w:tc>
          <w:tcPr>
            <w:tcW w:w="19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评价机构</w:t>
            </w:r>
          </w:p>
        </w:tc>
        <w:tc>
          <w:tcPr>
            <w:tcW w:w="2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甘肃坤信永诚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绩效评价咨询</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服务有限公司</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35" w:hRule="atLeast"/>
          <w:jc w:val="center"/>
        </w:trPr>
        <w:tc>
          <w:tcPr>
            <w:tcW w:w="1084" w:type="dxa"/>
            <w:vMerge w:val="continue"/>
            <w:tcBorders>
              <w:tl2br w:val="nil"/>
              <w:tr2bl w:val="nil"/>
            </w:tcBorders>
            <w:noWrap w:val="0"/>
            <w:textDirection w:val="tbRlV"/>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000000"/>
                <w:kern w:val="2"/>
                <w:sz w:val="28"/>
                <w:szCs w:val="28"/>
                <w:highlight w:val="none"/>
                <w:lang w:val="en-US" w:eastAsia="zh-CN" w:bidi="ar-SA"/>
              </w:rPr>
            </w:pPr>
          </w:p>
        </w:tc>
        <w:tc>
          <w:tcPr>
            <w:tcW w:w="210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被评价部门</w:t>
            </w:r>
          </w:p>
        </w:tc>
        <w:tc>
          <w:tcPr>
            <w:tcW w:w="22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山丹县民政局</w:t>
            </w:r>
          </w:p>
        </w:tc>
        <w:tc>
          <w:tcPr>
            <w:tcW w:w="193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资金性质</w:t>
            </w:r>
          </w:p>
        </w:tc>
        <w:tc>
          <w:tcPr>
            <w:tcW w:w="24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b w:val="0"/>
                <w:bCs w:val="0"/>
                <w:snapToGrid/>
                <w:color w:val="000000"/>
                <w:kern w:val="2"/>
                <w:sz w:val="28"/>
                <w:szCs w:val="28"/>
                <w:highlight w:val="none"/>
                <w:lang w:val="en-US" w:eastAsia="zh-CN" w:bidi="ar-SA"/>
              </w:rPr>
            </w:pPr>
            <w:r>
              <w:rPr>
                <w:rFonts w:hint="eastAsia" w:ascii="仿宋" w:hAnsi="仿宋" w:eastAsia="仿宋" w:cs="仿宋"/>
                <w:b w:val="0"/>
                <w:bCs w:val="0"/>
                <w:snapToGrid/>
                <w:color w:val="000000"/>
                <w:kern w:val="2"/>
                <w:sz w:val="28"/>
                <w:szCs w:val="28"/>
                <w:highlight w:val="none"/>
                <w:lang w:val="en-US" w:eastAsia="zh-CN" w:bidi="ar-SA"/>
              </w:rPr>
              <w:t>一般公共预算</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30" w:hRule="atLeast"/>
          <w:jc w:val="center"/>
        </w:trPr>
        <w:tc>
          <w:tcPr>
            <w:tcW w:w="1084" w:type="dxa"/>
            <w:tcBorders>
              <w:tl2br w:val="nil"/>
              <w:tr2bl w:val="nil"/>
            </w:tcBorders>
            <w:noWrap w:val="0"/>
            <w:textDirection w:val="tbRlV"/>
            <w:vAlign w:val="center"/>
          </w:tcPr>
          <w:p>
            <w:pPr>
              <w:pStyle w:val="9"/>
              <w:spacing w:before="227" w:line="202" w:lineRule="auto"/>
              <w:ind w:left="447"/>
              <w:jc w:val="center"/>
              <w:rPr>
                <w:rFonts w:hint="eastAsia" w:ascii="仿宋" w:hAnsi="仿宋" w:eastAsia="仿宋" w:cs="仿宋"/>
                <w:sz w:val="28"/>
                <w:szCs w:val="28"/>
              </w:rPr>
            </w:pPr>
            <w:r>
              <w:rPr>
                <w:rFonts w:hint="eastAsia" w:ascii="仿宋" w:hAnsi="仿宋" w:eastAsia="仿宋" w:cs="仿宋"/>
                <w:b/>
                <w:bCs/>
                <w:snapToGrid/>
                <w:color w:val="000000"/>
                <w:kern w:val="2"/>
                <w:sz w:val="28"/>
                <w:szCs w:val="28"/>
                <w:highlight w:val="none"/>
                <w:lang w:val="en-US" w:eastAsia="zh-CN" w:bidi="ar-SA"/>
              </w:rPr>
              <w:t>评 价 目 的</w:t>
            </w:r>
          </w:p>
        </w:tc>
        <w:tc>
          <w:tcPr>
            <w:tcW w:w="8723" w:type="dxa"/>
            <w:gridSpan w:val="4"/>
            <w:tcBorders>
              <w:tl2br w:val="nil"/>
              <w:tr2bl w:val="nil"/>
            </w:tcBorders>
            <w:noWrap w:val="0"/>
            <w:vAlign w:val="top"/>
          </w:tcPr>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560" w:firstLineChars="200"/>
              <w:jc w:val="left"/>
              <w:textAlignment w:val="baseline"/>
              <w:rPr>
                <w:rFonts w:hint="eastAsia" w:ascii="仿宋" w:hAnsi="仿宋" w:eastAsia="仿宋" w:cs="仿宋"/>
                <w:color w:val="0070C0"/>
                <w:kern w:val="0"/>
                <w:sz w:val="28"/>
                <w:szCs w:val="28"/>
                <w:highlight w:val="none"/>
                <w:lang w:val="en-US" w:eastAsia="zh-CN" w:bidi="ar"/>
              </w:rPr>
            </w:pPr>
            <w:r>
              <w:rPr>
                <w:rFonts w:hint="eastAsia" w:ascii="仿宋" w:hAnsi="仿宋" w:eastAsia="仿宋" w:cs="仿宋"/>
                <w:snapToGrid/>
                <w:color w:val="000000"/>
                <w:kern w:val="2"/>
                <w:sz w:val="28"/>
                <w:szCs w:val="28"/>
                <w:highlight w:val="none"/>
                <w:lang w:val="en-US" w:eastAsia="zh-CN"/>
              </w:rPr>
              <w:t>本次绩效评价的目的旨在通过对山丹县2023年度困难群众（夏季）物资采购（政府采购项目）绩效目标实现程度进行科学、客观、公正地衡量和评判，</w:t>
            </w:r>
            <w:r>
              <w:rPr>
                <w:rFonts w:hint="eastAsia" w:ascii="仿宋" w:hAnsi="仿宋" w:eastAsia="仿宋" w:cs="仿宋"/>
                <w:color w:val="auto"/>
                <w:sz w:val="28"/>
                <w:szCs w:val="28"/>
                <w:highlight w:val="none"/>
                <w:lang w:val="en-US" w:eastAsia="zh-CN"/>
              </w:rPr>
              <w:t>发现项目在实施过程中存在的问题及原因</w:t>
            </w:r>
            <w:r>
              <w:rPr>
                <w:rFonts w:hint="eastAsia" w:ascii="仿宋" w:hAnsi="仿宋" w:eastAsia="仿宋" w:cs="仿宋"/>
                <w:color w:val="002060"/>
                <w:sz w:val="28"/>
                <w:szCs w:val="28"/>
                <w:highlight w:val="none"/>
                <w:lang w:val="en-US" w:eastAsia="zh-CN"/>
              </w:rPr>
              <w:t>，</w:t>
            </w:r>
            <w:r>
              <w:rPr>
                <w:rFonts w:hint="eastAsia" w:ascii="仿宋" w:hAnsi="仿宋" w:eastAsia="仿宋" w:cs="仿宋"/>
                <w:color w:val="000000"/>
                <w:sz w:val="28"/>
                <w:szCs w:val="28"/>
                <w:highlight w:val="none"/>
                <w:lang w:val="en-US" w:eastAsia="zh-CN"/>
              </w:rPr>
              <w:t>从而提出切实可行的建议；</w:t>
            </w:r>
            <w:r>
              <w:rPr>
                <w:rFonts w:hint="eastAsia" w:ascii="仿宋" w:hAnsi="仿宋" w:eastAsia="仿宋" w:cs="仿宋"/>
                <w:snapToGrid w:val="0"/>
                <w:color w:val="000000"/>
                <w:kern w:val="0"/>
                <w:sz w:val="28"/>
                <w:szCs w:val="28"/>
                <w:highlight w:val="none"/>
                <w:lang w:val="en-US" w:eastAsia="zh-CN" w:bidi="ar"/>
              </w:rPr>
              <w:t>评价工作以预算资金管理为主线，从决策、过程、产出、效益等方面，衡量项目实施效果，为优化预算决策、改进管理、完善政策提供依据，</w:t>
            </w:r>
            <w:r>
              <w:rPr>
                <w:rFonts w:hint="eastAsia" w:ascii="仿宋" w:hAnsi="仿宋" w:eastAsia="仿宋" w:cs="仿宋"/>
                <w:snapToGrid/>
                <w:color w:val="000000"/>
                <w:kern w:val="2"/>
                <w:sz w:val="28"/>
                <w:szCs w:val="28"/>
                <w:highlight w:val="none"/>
                <w:lang w:val="en-US" w:eastAsia="zh-CN"/>
              </w:rPr>
              <w:t>总结项目管理与执行经验，推动建立以绩效评价结果为导向的财政资金分配与管理制度，提升财政资金科学化、精细化管理水平；为以后年度项目的顺利实施提供重要参考依据。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83" w:hRule="atLeast"/>
          <w:jc w:val="center"/>
        </w:trPr>
        <w:tc>
          <w:tcPr>
            <w:tcW w:w="1084" w:type="dxa"/>
            <w:vMerge w:val="restart"/>
            <w:tcBorders>
              <w:tl2br w:val="nil"/>
              <w:tr2bl w:val="nil"/>
            </w:tcBorders>
            <w:noWrap w:val="0"/>
            <w:textDirection w:val="tbRlV"/>
            <w:vAlign w:val="center"/>
          </w:tcPr>
          <w:p>
            <w:pPr>
              <w:pStyle w:val="9"/>
              <w:jc w:val="center"/>
              <w:rPr>
                <w:rFonts w:hint="eastAsia" w:ascii="仿宋" w:hAnsi="仿宋" w:eastAsia="仿宋" w:cs="仿宋"/>
                <w:b/>
                <w:bCs/>
                <w:snapToGrid/>
                <w:kern w:val="2"/>
                <w:sz w:val="28"/>
                <w:szCs w:val="28"/>
                <w:lang w:eastAsia="zh-CN"/>
              </w:rPr>
            </w:pPr>
            <w:r>
              <w:rPr>
                <w:rFonts w:hint="eastAsia" w:ascii="仿宋" w:hAnsi="仿宋" w:eastAsia="仿宋" w:cs="仿宋"/>
                <w:b/>
                <w:bCs/>
                <w:snapToGrid/>
                <w:kern w:val="2"/>
                <w:sz w:val="28"/>
                <w:szCs w:val="28"/>
                <w:lang w:eastAsia="zh-CN"/>
              </w:rPr>
              <w:t>（万元）</w:t>
            </w:r>
          </w:p>
          <w:p>
            <w:pPr>
              <w:pStyle w:val="9"/>
              <w:jc w:val="center"/>
              <w:rPr>
                <w:rFonts w:hint="eastAsia" w:ascii="仿宋" w:hAnsi="仿宋" w:eastAsia="仿宋" w:cs="仿宋"/>
                <w:color w:val="0070C0"/>
                <w:sz w:val="28"/>
                <w:szCs w:val="28"/>
                <w:lang w:val="en-US" w:eastAsia="zh-CN"/>
              </w:rPr>
            </w:pPr>
            <w:r>
              <w:rPr>
                <w:rFonts w:hint="eastAsia" w:ascii="仿宋" w:hAnsi="仿宋" w:eastAsia="仿宋" w:cs="仿宋"/>
                <w:b/>
                <w:bCs/>
                <w:snapToGrid/>
                <w:kern w:val="2"/>
                <w:sz w:val="28"/>
                <w:szCs w:val="28"/>
                <w:lang w:eastAsia="zh-CN"/>
              </w:rPr>
              <w:t>资金情况</w:t>
            </w:r>
          </w:p>
        </w:tc>
        <w:tc>
          <w:tcPr>
            <w:tcW w:w="2102"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90" w:line="240" w:lineRule="auto"/>
              <w:ind w:left="0"/>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预算安排资金</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仿宋" w:hAnsi="仿宋" w:eastAsia="仿宋" w:cs="仿宋"/>
                <w:b/>
                <w:bCs/>
                <w:snapToGrid/>
                <w:color w:val="000000"/>
                <w:kern w:val="2"/>
                <w:sz w:val="28"/>
                <w:szCs w:val="28"/>
                <w:highlight w:val="none"/>
                <w:lang w:val="en-US" w:eastAsia="zh-CN" w:bidi="ar-SA"/>
              </w:rPr>
            </w:pPr>
          </w:p>
        </w:tc>
        <w:tc>
          <w:tcPr>
            <w:tcW w:w="2252" w:type="dxa"/>
            <w:tcBorders>
              <w:tl2br w:val="nil"/>
              <w:tr2bl w:val="nil"/>
            </w:tcBorders>
            <w:shd w:val="clear" w:color="auto" w:fill="auto"/>
            <w:noWrap w:val="0"/>
            <w:vAlign w:val="center"/>
          </w:tcPr>
          <w:p>
            <w:pPr>
              <w:keepNext w:val="0"/>
              <w:keepLines w:val="0"/>
              <w:pageBreakBefore w:val="0"/>
              <w:tabs>
                <w:tab w:val="left" w:pos="2496"/>
              </w:tabs>
              <w:wordWrap/>
              <w:overflowPunct/>
              <w:topLinePunct w:val="0"/>
              <w:bidi w:val="0"/>
              <w:adjustRightInd w:val="0"/>
              <w:snapToGrid w:val="0"/>
              <w:spacing w:line="240" w:lineRule="auto"/>
              <w:ind w:left="0"/>
              <w:jc w:val="center"/>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snapToGrid/>
                <w:color w:val="000000"/>
                <w:kern w:val="2"/>
                <w:sz w:val="28"/>
                <w:szCs w:val="28"/>
                <w:highlight w:val="none"/>
                <w:lang w:val="en-US" w:eastAsia="zh-CN"/>
              </w:rPr>
              <w:t>116.00</w:t>
            </w:r>
          </w:p>
        </w:tc>
        <w:tc>
          <w:tcPr>
            <w:tcW w:w="193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auto"/>
                <w:kern w:val="2"/>
                <w:sz w:val="28"/>
                <w:szCs w:val="28"/>
                <w:highlight w:val="none"/>
                <w:lang w:val="en-US" w:eastAsia="zh-CN" w:bidi="ar-SA"/>
              </w:rPr>
              <w:t>调整预算数</w:t>
            </w:r>
          </w:p>
        </w:tc>
        <w:tc>
          <w:tcPr>
            <w:tcW w:w="2438" w:type="dxa"/>
            <w:tcBorders>
              <w:tl2br w:val="nil"/>
              <w:tr2bl w:val="nil"/>
            </w:tcBorders>
            <w:shd w:val="clear" w:color="auto" w:fill="auto"/>
            <w:noWrap w:val="0"/>
            <w:vAlign w:val="center"/>
          </w:tcPr>
          <w:p>
            <w:pPr>
              <w:keepNext w:val="0"/>
              <w:keepLines w:val="0"/>
              <w:pageBreakBefore w:val="0"/>
              <w:widowControl/>
              <w:suppressLineNumbers w:val="0"/>
              <w:wordWrap/>
              <w:overflowPunct/>
              <w:topLinePunct w:val="0"/>
              <w:bidi w:val="0"/>
              <w:adjustRightInd w:val="0"/>
              <w:snapToGrid w:val="0"/>
              <w:spacing w:line="240" w:lineRule="auto"/>
              <w:ind w:left="0"/>
              <w:jc w:val="center"/>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snapToGrid/>
                <w:color w:val="000000"/>
                <w:kern w:val="2"/>
                <w:sz w:val="28"/>
                <w:szCs w:val="28"/>
                <w:highlight w:val="none"/>
                <w:lang w:val="en-US" w:eastAsia="zh-CN"/>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086" w:hRule="atLeast"/>
          <w:jc w:val="center"/>
        </w:trPr>
        <w:tc>
          <w:tcPr>
            <w:tcW w:w="1084" w:type="dxa"/>
            <w:vMerge w:val="continue"/>
            <w:tcBorders>
              <w:tl2br w:val="nil"/>
              <w:tr2bl w:val="nil"/>
            </w:tcBorders>
            <w:noWrap w:val="0"/>
            <w:textDirection w:val="tbRlV"/>
            <w:vAlign w:val="top"/>
          </w:tcPr>
          <w:p>
            <w:pPr>
              <w:pStyle w:val="9"/>
              <w:keepNext w:val="0"/>
              <w:keepLines w:val="0"/>
              <w:pageBreakBefore w:val="0"/>
              <w:wordWrap/>
              <w:overflowPunct/>
              <w:topLinePunct w:val="0"/>
              <w:bidi w:val="0"/>
              <w:adjustRightInd w:val="0"/>
              <w:snapToGrid w:val="0"/>
              <w:spacing w:line="240" w:lineRule="auto"/>
              <w:ind w:left="0"/>
              <w:jc w:val="center"/>
              <w:rPr>
                <w:rFonts w:hint="eastAsia" w:ascii="仿宋" w:hAnsi="仿宋" w:eastAsia="仿宋" w:cs="仿宋"/>
                <w:color w:val="0070C0"/>
                <w:sz w:val="28"/>
                <w:szCs w:val="28"/>
                <w:lang w:val="en-US" w:eastAsia="zh-CN"/>
              </w:rPr>
            </w:pPr>
          </w:p>
        </w:tc>
        <w:tc>
          <w:tcPr>
            <w:tcW w:w="2102"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实际执行数</w:t>
            </w:r>
          </w:p>
        </w:tc>
        <w:tc>
          <w:tcPr>
            <w:tcW w:w="2252" w:type="dxa"/>
            <w:tcBorders>
              <w:tl2br w:val="nil"/>
              <w:tr2bl w:val="nil"/>
            </w:tcBorders>
            <w:shd w:val="clear" w:color="auto" w:fill="auto"/>
            <w:noWrap w:val="0"/>
            <w:vAlign w:val="center"/>
          </w:tcPr>
          <w:p>
            <w:pPr>
              <w:keepNext w:val="0"/>
              <w:keepLines w:val="0"/>
              <w:pageBreakBefore w:val="0"/>
              <w:tabs>
                <w:tab w:val="left" w:pos="2496"/>
              </w:tabs>
              <w:wordWrap/>
              <w:overflowPunct/>
              <w:topLinePunct w:val="0"/>
              <w:bidi w:val="0"/>
              <w:adjustRightInd w:val="0"/>
              <w:snapToGrid w:val="0"/>
              <w:spacing w:line="240" w:lineRule="auto"/>
              <w:ind w:left="0"/>
              <w:jc w:val="center"/>
              <w:rPr>
                <w:rFonts w:hint="default" w:ascii="仿宋" w:hAnsi="仿宋" w:eastAsia="仿宋" w:cs="仿宋"/>
                <w:snapToGrid w:val="0"/>
                <w:color w:val="000000"/>
                <w:kern w:val="0"/>
                <w:sz w:val="28"/>
                <w:szCs w:val="28"/>
                <w:lang w:val="en-US" w:eastAsia="zh-CN" w:bidi="ar-SA"/>
              </w:rPr>
            </w:pPr>
            <w:r>
              <w:rPr>
                <w:rFonts w:hint="eastAsia" w:ascii="仿宋" w:hAnsi="仿宋" w:eastAsia="仿宋" w:cs="仿宋"/>
                <w:color w:val="auto"/>
                <w:sz w:val="32"/>
                <w:szCs w:val="32"/>
                <w:highlight w:val="none"/>
                <w:lang w:val="en-US" w:eastAsia="zh-CN"/>
              </w:rPr>
              <w:t>116.00</w:t>
            </w:r>
          </w:p>
        </w:tc>
        <w:tc>
          <w:tcPr>
            <w:tcW w:w="1931"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执行率</w:t>
            </w:r>
          </w:p>
        </w:tc>
        <w:tc>
          <w:tcPr>
            <w:tcW w:w="2438" w:type="dxa"/>
            <w:tcBorders>
              <w:tl2br w:val="nil"/>
              <w:tr2bl w:val="nil"/>
            </w:tcBorders>
            <w:shd w:val="clear" w:color="auto" w:fill="auto"/>
            <w:noWrap w:val="0"/>
            <w:vAlign w:val="center"/>
          </w:tcPr>
          <w:p>
            <w:pPr>
              <w:keepNext w:val="0"/>
              <w:keepLines w:val="0"/>
              <w:pageBreakBefore w:val="0"/>
              <w:widowControl/>
              <w:suppressLineNumbers w:val="0"/>
              <w:wordWrap/>
              <w:overflowPunct/>
              <w:topLinePunct w:val="0"/>
              <w:bidi w:val="0"/>
              <w:adjustRightInd w:val="0"/>
              <w:snapToGrid w:val="0"/>
              <w:spacing w:line="240" w:lineRule="auto"/>
              <w:ind w:left="0"/>
              <w:jc w:val="center"/>
              <w:rPr>
                <w:rFonts w:hint="default" w:ascii="仿宋" w:hAnsi="仿宋" w:eastAsia="仿宋" w:cs="仿宋"/>
                <w:snapToGrid w:val="0"/>
                <w:color w:val="000000"/>
                <w:kern w:val="0"/>
                <w:sz w:val="28"/>
                <w:szCs w:val="28"/>
                <w:lang w:val="en-US" w:eastAsia="zh-CN" w:bidi="ar"/>
              </w:rPr>
            </w:pPr>
            <w:r>
              <w:rPr>
                <w:rFonts w:hint="eastAsia" w:ascii="仿宋" w:hAnsi="仿宋" w:eastAsia="仿宋" w:cs="仿宋"/>
                <w:snapToGrid/>
                <w:color w:val="000000"/>
                <w:kern w:val="2"/>
                <w:sz w:val="28"/>
                <w:szCs w:val="28"/>
                <w:highlight w:val="none"/>
                <w:lang w:val="en-US" w:eastAsia="zh-CN"/>
              </w:rPr>
              <w:t>100%</w:t>
            </w:r>
          </w:p>
        </w:tc>
      </w:tr>
    </w:tbl>
    <w:p>
      <w:pPr>
        <w:keepNext w:val="0"/>
        <w:keepLines w:val="0"/>
        <w:pageBreakBefore w:val="0"/>
        <w:widowControl/>
        <w:suppressLineNumbers w:val="0"/>
        <w:kinsoku/>
        <w:wordWrap/>
        <w:overflowPunct/>
        <w:topLinePunct w:val="0"/>
        <w:autoSpaceDE/>
        <w:autoSpaceDN/>
        <w:bidi w:val="0"/>
        <w:adjustRightInd w:val="0"/>
        <w:snapToGrid w:val="0"/>
        <w:spacing w:before="0" w:beforeLines="300" w:after="0" w:line="240" w:lineRule="auto"/>
        <w:ind w:left="0"/>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二、部门绩效目标</w:t>
      </w:r>
    </w:p>
    <w:tbl>
      <w:tblPr>
        <w:tblStyle w:val="10"/>
        <w:tblpPr w:leftFromText="180" w:rightFromText="180" w:vertAnchor="text" w:horzAnchor="page" w:tblpX="1056" w:tblpY="348"/>
        <w:tblOverlap w:val="never"/>
        <w:tblW w:w="9785" w:type="dxa"/>
        <w:tblInd w:w="0"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375"/>
        <w:gridCol w:w="7410"/>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375" w:type="dxa"/>
            <w:tcBorders>
              <w:tl2br w:val="nil"/>
              <w:tr2bl w:val="nil"/>
            </w:tcBorders>
            <w:noWrap w:val="0"/>
            <w:vAlign w:val="top"/>
          </w:tcPr>
          <w:p>
            <w:pPr>
              <w:keepNext w:val="0"/>
              <w:keepLines w:val="0"/>
              <w:pageBreakBefore w:val="0"/>
              <w:wordWrap/>
              <w:overflowPunct/>
              <w:topLinePunct w:val="0"/>
              <w:bidi w:val="0"/>
              <w:adjustRightInd w:val="0"/>
              <w:snapToGrid w:val="0"/>
              <w:spacing w:line="240" w:lineRule="auto"/>
              <w:ind w:left="0" w:right="0"/>
              <w:rPr>
                <w:rFonts w:hint="eastAsia" w:ascii="仿宋" w:hAnsi="仿宋" w:eastAsia="仿宋" w:cs="仿宋"/>
                <w:sz w:val="28"/>
                <w:szCs w:val="28"/>
              </w:rPr>
            </w:pPr>
          </w:p>
          <w:p>
            <w:pPr>
              <w:keepNext w:val="0"/>
              <w:keepLines w:val="0"/>
              <w:pageBreakBefore w:val="0"/>
              <w:wordWrap/>
              <w:overflowPunct/>
              <w:topLinePunct w:val="0"/>
              <w:bidi w:val="0"/>
              <w:adjustRightInd w:val="0"/>
              <w:snapToGrid w:val="0"/>
              <w:spacing w:line="240" w:lineRule="auto"/>
              <w:ind w:left="0" w:right="0"/>
              <w:rPr>
                <w:rFonts w:hint="eastAsia" w:ascii="仿宋" w:hAnsi="仿宋" w:eastAsia="仿宋" w:cs="仿宋"/>
                <w:sz w:val="28"/>
                <w:szCs w:val="28"/>
              </w:rPr>
            </w:pPr>
          </w:p>
          <w:p>
            <w:pPr>
              <w:pStyle w:val="9"/>
              <w:keepNext w:val="0"/>
              <w:keepLines w:val="0"/>
              <w:pageBreakBefore w:val="0"/>
              <w:wordWrap/>
              <w:overflowPunct/>
              <w:topLinePunct w:val="0"/>
              <w:bidi w:val="0"/>
              <w:adjustRightInd w:val="0"/>
              <w:snapToGrid w:val="0"/>
              <w:spacing w:line="240" w:lineRule="auto"/>
              <w:ind w:left="0" w:right="0"/>
              <w:rPr>
                <w:rFonts w:hint="eastAsia" w:ascii="仿宋" w:hAnsi="仿宋" w:eastAsia="仿宋" w:cs="仿宋"/>
                <w:spacing w:val="-1"/>
                <w:sz w:val="28"/>
                <w:szCs w:val="28"/>
              </w:rPr>
            </w:pPr>
          </w:p>
          <w:p>
            <w:pPr>
              <w:pStyle w:val="9"/>
              <w:keepNext w:val="0"/>
              <w:keepLines w:val="0"/>
              <w:pageBreakBefore w:val="0"/>
              <w:wordWrap/>
              <w:overflowPunct/>
              <w:topLinePunct w:val="0"/>
              <w:bidi w:val="0"/>
              <w:adjustRightInd w:val="0"/>
              <w:snapToGrid w:val="0"/>
              <w:spacing w:line="240" w:lineRule="auto"/>
              <w:ind w:left="0" w:right="0"/>
              <w:rPr>
                <w:rFonts w:hint="eastAsia" w:ascii="仿宋" w:hAnsi="仿宋" w:eastAsia="仿宋" w:cs="仿宋"/>
                <w:spacing w:val="-1"/>
                <w:sz w:val="28"/>
                <w:szCs w:val="28"/>
              </w:rPr>
            </w:pPr>
          </w:p>
          <w:p>
            <w:pPr>
              <w:pStyle w:val="9"/>
              <w:keepNext w:val="0"/>
              <w:keepLines w:val="0"/>
              <w:pageBreakBefore w:val="0"/>
              <w:wordWrap/>
              <w:overflowPunct/>
              <w:topLinePunct w:val="0"/>
              <w:bidi w:val="0"/>
              <w:adjustRightInd w:val="0"/>
              <w:snapToGrid w:val="0"/>
              <w:spacing w:line="240" w:lineRule="auto"/>
              <w:ind w:left="0" w:right="0"/>
              <w:jc w:val="center"/>
              <w:rPr>
                <w:rFonts w:hint="eastAsia" w:ascii="仿宋" w:hAnsi="仿宋" w:eastAsia="仿宋" w:cs="仿宋"/>
                <w:b/>
                <w:bCs/>
                <w:snapToGrid/>
                <w:color w:val="000000"/>
                <w:kern w:val="2"/>
                <w:sz w:val="28"/>
                <w:szCs w:val="28"/>
                <w:highlight w:val="none"/>
                <w:lang w:val="en-US" w:eastAsia="zh-CN" w:bidi="ar-SA"/>
              </w:rPr>
            </w:pPr>
          </w:p>
          <w:p>
            <w:pPr>
              <w:pStyle w:val="9"/>
              <w:keepNext w:val="0"/>
              <w:keepLines w:val="0"/>
              <w:pageBreakBefore w:val="0"/>
              <w:wordWrap/>
              <w:overflowPunct/>
              <w:topLinePunct w:val="0"/>
              <w:bidi w:val="0"/>
              <w:adjustRightInd w:val="0"/>
              <w:snapToGrid w:val="0"/>
              <w:spacing w:line="240" w:lineRule="auto"/>
              <w:ind w:left="0" w:right="0"/>
              <w:jc w:val="center"/>
              <w:rPr>
                <w:rFonts w:hint="eastAsia" w:ascii="仿宋" w:hAnsi="仿宋" w:eastAsia="仿宋" w:cs="仿宋"/>
                <w:b/>
                <w:bCs/>
                <w:snapToGrid/>
                <w:color w:val="000000"/>
                <w:kern w:val="2"/>
                <w:sz w:val="28"/>
                <w:szCs w:val="28"/>
                <w:highlight w:val="none"/>
                <w:lang w:val="en-US" w:eastAsia="zh-CN" w:bidi="ar-SA"/>
              </w:rPr>
            </w:pPr>
          </w:p>
          <w:p>
            <w:pPr>
              <w:pStyle w:val="9"/>
              <w:keepNext w:val="0"/>
              <w:keepLines w:val="0"/>
              <w:pageBreakBefore w:val="0"/>
              <w:wordWrap/>
              <w:overflowPunct/>
              <w:topLinePunct w:val="0"/>
              <w:bidi w:val="0"/>
              <w:adjustRightInd w:val="0"/>
              <w:snapToGrid w:val="0"/>
              <w:spacing w:line="240" w:lineRule="auto"/>
              <w:ind w:left="0" w:right="0"/>
              <w:jc w:val="center"/>
              <w:rPr>
                <w:rFonts w:hint="eastAsia" w:ascii="仿宋" w:hAnsi="仿宋" w:eastAsia="仿宋" w:cs="仿宋"/>
                <w:sz w:val="28"/>
                <w:szCs w:val="28"/>
              </w:rPr>
            </w:pPr>
            <w:r>
              <w:rPr>
                <w:rFonts w:hint="eastAsia" w:ascii="仿宋" w:hAnsi="仿宋" w:eastAsia="仿宋" w:cs="仿宋"/>
                <w:b/>
                <w:bCs/>
                <w:snapToGrid/>
                <w:color w:val="000000"/>
                <w:kern w:val="2"/>
                <w:sz w:val="28"/>
                <w:szCs w:val="28"/>
                <w:highlight w:val="none"/>
                <w:lang w:val="en-US" w:eastAsia="zh-CN" w:bidi="ar-SA"/>
              </w:rPr>
              <w:t>年度绩效目标</w:t>
            </w:r>
          </w:p>
        </w:tc>
        <w:tc>
          <w:tcPr>
            <w:tcW w:w="7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560" w:firstLineChars="200"/>
              <w:jc w:val="left"/>
              <w:textAlignment w:val="auto"/>
              <w:rPr>
                <w:rFonts w:hint="default" w:ascii="仿宋" w:hAnsi="仿宋" w:eastAsia="仿宋" w:cs="仿宋"/>
                <w:sz w:val="28"/>
                <w:szCs w:val="28"/>
                <w:lang w:val="en-US"/>
              </w:rPr>
            </w:pPr>
            <w:r>
              <w:rPr>
                <w:rFonts w:hint="eastAsia" w:ascii="仿宋" w:hAnsi="仿宋" w:eastAsia="仿宋" w:cs="仿宋"/>
                <w:snapToGrid/>
                <w:color w:val="000000"/>
                <w:kern w:val="2"/>
                <w:sz w:val="28"/>
                <w:szCs w:val="28"/>
                <w:highlight w:val="none"/>
                <w:lang w:val="en-US" w:eastAsia="zh-CN" w:bidi="ar-SA"/>
              </w:rPr>
              <w:t>为持续完善居家社区机构相协调、医养康养相结合的养老服务体系，满足老年人日益增长的多样化多层次养老服务需求，加强困难群众救助，是解决困难群众操心事、烦心事、揪心事的重要举措。充分认识困难群众救助的重要性和紧迫性，聚焦脱贫攻坚，聚焦特殊群体，聚焦群众关切，按照保基本、兜底线、救急难、可持续的总体思路，以统筹救助资源、增强兜底功能、提升服务能力为重点，完善法规制度健全体制机制，强化改革创新，不断增强困难群众的获得感、幸福感、安全感。</w:t>
            </w:r>
          </w:p>
        </w:tc>
      </w:tr>
    </w:tbl>
    <w:p>
      <w:pPr>
        <w:keepNext w:val="0"/>
        <w:keepLines w:val="0"/>
        <w:pageBreakBefore w:val="0"/>
        <w:widowControl/>
        <w:suppressLineNumbers w:val="0"/>
        <w:kinsoku/>
        <w:wordWrap/>
        <w:overflowPunct/>
        <w:topLinePunct w:val="0"/>
        <w:autoSpaceDE/>
        <w:autoSpaceDN/>
        <w:bidi w:val="0"/>
        <w:adjustRightInd/>
        <w:snapToGrid w:val="0"/>
        <w:spacing w:before="0" w:beforeLines="100" w:line="360" w:lineRule="auto"/>
        <w:ind w:left="0" w:right="0"/>
        <w:jc w:val="center"/>
        <w:textAlignment w:val="center"/>
        <w:rPr>
          <w:rFonts w:hint="eastAsia" w:ascii="仿宋" w:hAnsi="仿宋" w:eastAsia="仿宋" w:cs="仿宋"/>
          <w:sz w:val="28"/>
          <w:szCs w:val="28"/>
        </w:rPr>
      </w:pPr>
      <w:r>
        <w:rPr>
          <w:rFonts w:hint="eastAsia" w:ascii="仿宋" w:hAnsi="仿宋" w:eastAsia="仿宋" w:cs="仿宋"/>
          <w:b/>
          <w:bCs/>
          <w:snapToGrid/>
          <w:color w:val="000000"/>
          <w:kern w:val="2"/>
          <w:sz w:val="28"/>
          <w:szCs w:val="28"/>
          <w:highlight w:val="none"/>
          <w:lang w:val="en-US" w:eastAsia="zh-CN" w:bidi="ar-SA"/>
        </w:rPr>
        <mc:AlternateContent>
          <mc:Choice Requires="wps">
            <w:drawing>
              <wp:anchor distT="0" distB="0" distL="114300" distR="114300" simplePos="0" relativeHeight="251660288" behindDoc="0" locked="0" layoutInCell="0" allowOverlap="1">
                <wp:simplePos x="0" y="0"/>
                <wp:positionH relativeFrom="page">
                  <wp:posOffset>1143000</wp:posOffset>
                </wp:positionH>
                <wp:positionV relativeFrom="page">
                  <wp:posOffset>914400</wp:posOffset>
                </wp:positionV>
                <wp:extent cx="5274310" cy="6350"/>
                <wp:effectExtent l="0" t="0" r="0" b="0"/>
                <wp:wrapNone/>
                <wp:docPr id="2" name="矩形 1"/>
                <wp:cNvGraphicFramePr/>
                <a:graphic xmlns:a="http://schemas.openxmlformats.org/drawingml/2006/main">
                  <a:graphicData uri="http://schemas.microsoft.com/office/word/2010/wordprocessingShape">
                    <wps:wsp>
                      <wps:cNvSpPr/>
                      <wps:spPr>
                        <a:xfrm>
                          <a:off x="0" y="0"/>
                          <a:ext cx="5274310" cy="6350"/>
                        </a:xfrm>
                        <a:prstGeom prst="rect">
                          <a:avLst/>
                        </a:prstGeom>
                        <a:solidFill>
                          <a:srgbClr val="000000"/>
                        </a:solidFill>
                        <a:ln>
                          <a:noFill/>
                        </a:ln>
                        <a:effectLst/>
                      </wps:spPr>
                      <wps:bodyPr wrap="square" upright="1"/>
                    </wps:wsp>
                  </a:graphicData>
                </a:graphic>
              </wp:anchor>
            </w:drawing>
          </mc:Choice>
          <mc:Fallback>
            <w:pict>
              <v:rect id="矩形 1" o:spid="_x0000_s1026" o:spt="1" style="position:absolute;left:0pt;margin-left:90pt;margin-top:72pt;height:0.5pt;width:415.3pt;mso-position-horizontal-relative:page;mso-position-vertical-relative:page;z-index:251660288;mso-width-relative:page;mso-height-relative:page;" fillcolor="#000000" filled="t" stroked="f" coordsize="21600,21600" o:allowincell="f" o:gfxdata="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XhTaRNcAAAAMAQAADwAAAAAAAAABACAA&#10;AAA4AAAAZHJzL2Rvd25yZXYueG1sUEsBAhQAFAAAAAgAh07iQOWtqpG/AQAAeQMAAA4AAAAAAAAA&#10;AQAgAAAAPAEAAGRycy9lMm9Eb2MueG1sUEsFBgAAAAAGAAYAWQEAAG0FAAAAAA==&#10;">
                <v:fill on="t" focussize="0,0"/>
                <v:stroke on="f"/>
                <v:imagedata o:title=""/>
                <o:lock v:ext="edit" aspectratio="f"/>
              </v:rect>
            </w:pict>
          </mc:Fallback>
        </mc:AlternateContent>
      </w:r>
      <w:r>
        <w:rPr>
          <w:rFonts w:hint="eastAsia" w:ascii="仿宋" w:hAnsi="仿宋" w:eastAsia="仿宋" w:cs="仿宋"/>
          <w:b/>
          <w:bCs/>
          <w:snapToGrid/>
          <w:color w:val="000000"/>
          <w:kern w:val="2"/>
          <w:sz w:val="28"/>
          <w:szCs w:val="28"/>
          <w:highlight w:val="none"/>
          <w:lang w:val="en-US" w:eastAsia="zh-CN" w:bidi="ar-SA"/>
        </w:rPr>
        <w:t>三、评价基本情况</w:t>
      </w:r>
    </w:p>
    <w:tbl>
      <w:tblPr>
        <w:tblStyle w:val="10"/>
        <w:tblW w:w="1002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584"/>
        <w:gridCol w:w="743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71" w:hRule="atLeast"/>
          <w:jc w:val="center"/>
        </w:trPr>
        <w:tc>
          <w:tcPr>
            <w:tcW w:w="2584"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z w:val="28"/>
                <w:szCs w:val="28"/>
              </w:rPr>
            </w:pPr>
            <w:r>
              <w:rPr>
                <w:rFonts w:hint="eastAsia" w:ascii="仿宋" w:hAnsi="仿宋" w:eastAsia="仿宋" w:cs="仿宋"/>
                <w:b/>
                <w:bCs/>
                <w:snapToGrid/>
                <w:color w:val="000000"/>
                <w:kern w:val="2"/>
                <w:sz w:val="28"/>
                <w:szCs w:val="28"/>
                <w:highlight w:val="none"/>
                <w:lang w:val="en-US" w:eastAsia="zh-CN" w:bidi="ar-SA"/>
              </w:rPr>
              <w:t>评价范围</w:t>
            </w:r>
          </w:p>
        </w:tc>
        <w:tc>
          <w:tcPr>
            <w:tcW w:w="7439"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仿宋" w:hAnsi="仿宋" w:eastAsia="仿宋" w:cs="仿宋"/>
                <w:snapToGrid/>
                <w:color w:val="000000"/>
                <w:kern w:val="2"/>
                <w:sz w:val="28"/>
                <w:szCs w:val="28"/>
                <w:highlight w:val="none"/>
                <w:lang w:val="en-US" w:eastAsia="zh-CN" w:bidi="ar-SA"/>
              </w:rPr>
            </w:pPr>
            <w:r>
              <w:rPr>
                <w:rFonts w:hint="eastAsia" w:ascii="仿宋" w:hAnsi="仿宋" w:eastAsia="仿宋" w:cs="仿宋"/>
                <w:snapToGrid/>
                <w:color w:val="000000"/>
                <w:kern w:val="2"/>
                <w:sz w:val="28"/>
                <w:szCs w:val="28"/>
                <w:highlight w:val="none"/>
                <w:lang w:val="en-US" w:eastAsia="zh-CN" w:bidi="ar-SA"/>
              </w:rPr>
              <w:t>对山丹县2023年度困难群众（夏季）物资采购项目进行绩效评价，涵盖</w:t>
            </w:r>
            <w:r>
              <w:rPr>
                <w:rFonts w:hint="eastAsia" w:ascii="仿宋" w:hAnsi="仿宋" w:eastAsia="仿宋" w:cs="仿宋"/>
                <w:snapToGrid/>
                <w:color w:val="auto"/>
                <w:kern w:val="2"/>
                <w:sz w:val="28"/>
                <w:szCs w:val="28"/>
                <w:highlight w:val="none"/>
                <w:lang w:val="en-US" w:eastAsia="zh-CN" w:bidi="ar-SA"/>
              </w:rPr>
              <w:t>预算资金116万元。</w:t>
            </w: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right="0" w:firstLine="560" w:firstLineChars="200"/>
              <w:jc w:val="left"/>
              <w:textAlignment w:val="baseline"/>
              <w:rPr>
                <w:rFonts w:hint="eastAsia" w:ascii="仿宋" w:hAnsi="仿宋" w:eastAsia="仿宋" w:cs="仿宋"/>
                <w:sz w:val="28"/>
                <w:szCs w:val="28"/>
              </w:rPr>
            </w:pPr>
            <w:r>
              <w:rPr>
                <w:rFonts w:hint="eastAsia" w:ascii="仿宋" w:hAnsi="仿宋" w:eastAsia="仿宋" w:cs="仿宋"/>
                <w:snapToGrid/>
                <w:color w:val="auto"/>
                <w:kern w:val="2"/>
                <w:sz w:val="28"/>
                <w:szCs w:val="28"/>
                <w:highlight w:val="none"/>
                <w:lang w:val="en-US" w:eastAsia="zh-CN" w:bidi="ar-SA"/>
              </w:rPr>
              <w:t>（2023年9月8日—2024年10月31日）。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2584" w:type="dxa"/>
            <w:tcBorders>
              <w:tl2br w:val="nil"/>
              <w:tr2bl w:val="nil"/>
            </w:tcBorders>
            <w:noWrap w:val="0"/>
            <w:vAlign w:val="top"/>
          </w:tcPr>
          <w:p>
            <w:pPr>
              <w:keepNext w:val="0"/>
              <w:keepLines w:val="0"/>
              <w:pageBreakBefore w:val="0"/>
              <w:wordWrap/>
              <w:overflowPunct/>
              <w:topLinePunct w:val="0"/>
              <w:bidi w:val="0"/>
              <w:snapToGrid w:val="0"/>
              <w:spacing w:line="240" w:lineRule="auto"/>
              <w:ind w:left="0" w:right="0"/>
              <w:rPr>
                <w:rFonts w:hint="eastAsia" w:ascii="仿宋" w:hAnsi="仿宋" w:eastAsia="仿宋" w:cs="仿宋"/>
                <w:sz w:val="28"/>
                <w:szCs w:val="28"/>
              </w:rPr>
            </w:pPr>
          </w:p>
          <w:p>
            <w:pPr>
              <w:pStyle w:val="9"/>
              <w:keepNext w:val="0"/>
              <w:keepLines w:val="0"/>
              <w:pageBreakBefore w:val="0"/>
              <w:wordWrap/>
              <w:overflowPunct/>
              <w:topLinePunct w:val="0"/>
              <w:bidi w:val="0"/>
              <w:snapToGrid w:val="0"/>
              <w:spacing w:line="240" w:lineRule="auto"/>
              <w:ind w:left="0" w:right="0"/>
              <w:rPr>
                <w:rFonts w:hint="eastAsia" w:ascii="仿宋" w:hAnsi="仿宋" w:eastAsia="仿宋" w:cs="仿宋"/>
                <w:spacing w:val="-1"/>
                <w:sz w:val="28"/>
                <w:szCs w:val="28"/>
                <w:lang w:val="en-US" w:eastAsia="zh-CN"/>
              </w:rPr>
            </w:pPr>
          </w:p>
          <w:p>
            <w:pPr>
              <w:pStyle w:val="9"/>
              <w:keepNext w:val="0"/>
              <w:keepLines w:val="0"/>
              <w:pageBreakBefore w:val="0"/>
              <w:wordWrap/>
              <w:overflowPunct/>
              <w:topLinePunct w:val="0"/>
              <w:bidi w:val="0"/>
              <w:snapToGrid w:val="0"/>
              <w:spacing w:line="240" w:lineRule="auto"/>
              <w:ind w:left="0" w:right="0"/>
              <w:rPr>
                <w:rFonts w:hint="eastAsia" w:ascii="仿宋" w:hAnsi="仿宋" w:eastAsia="仿宋" w:cs="仿宋"/>
                <w:spacing w:val="-1"/>
                <w:sz w:val="28"/>
                <w:szCs w:val="28"/>
                <w:lang w:val="en-US" w:eastAsia="zh-CN"/>
              </w:rPr>
            </w:pPr>
          </w:p>
          <w:p>
            <w:pPr>
              <w:pStyle w:val="9"/>
              <w:keepNext w:val="0"/>
              <w:keepLines w:val="0"/>
              <w:pageBreakBefore w:val="0"/>
              <w:wordWrap/>
              <w:overflowPunct/>
              <w:topLinePunct w:val="0"/>
              <w:bidi w:val="0"/>
              <w:snapToGrid w:val="0"/>
              <w:spacing w:line="240" w:lineRule="auto"/>
              <w:ind w:right="0"/>
              <w:jc w:val="both"/>
              <w:rPr>
                <w:rFonts w:hint="eastAsia" w:ascii="仿宋" w:hAnsi="仿宋" w:eastAsia="仿宋" w:cs="仿宋"/>
                <w:b/>
                <w:bCs/>
                <w:snapToGrid/>
                <w:color w:val="000000"/>
                <w:kern w:val="2"/>
                <w:sz w:val="28"/>
                <w:szCs w:val="28"/>
                <w:highlight w:val="none"/>
                <w:lang w:val="en-US" w:eastAsia="zh-CN" w:bidi="ar-SA"/>
              </w:rPr>
            </w:pPr>
          </w:p>
          <w:p>
            <w:pPr>
              <w:pStyle w:val="9"/>
              <w:keepNext w:val="0"/>
              <w:keepLines w:val="0"/>
              <w:pageBreakBefore w:val="0"/>
              <w:wordWrap/>
              <w:overflowPunct/>
              <w:topLinePunct w:val="0"/>
              <w:bidi w:val="0"/>
              <w:snapToGrid w:val="0"/>
              <w:spacing w:line="240" w:lineRule="auto"/>
              <w:ind w:right="0"/>
              <w:jc w:val="both"/>
              <w:rPr>
                <w:rFonts w:hint="eastAsia" w:ascii="仿宋" w:hAnsi="仿宋" w:eastAsia="仿宋" w:cs="仿宋"/>
                <w:b/>
                <w:bCs/>
                <w:snapToGrid/>
                <w:color w:val="000000"/>
                <w:kern w:val="2"/>
                <w:sz w:val="28"/>
                <w:szCs w:val="28"/>
                <w:highlight w:val="none"/>
                <w:lang w:val="en-US" w:eastAsia="zh-CN" w:bidi="ar-SA"/>
              </w:rPr>
            </w:pPr>
          </w:p>
          <w:p>
            <w:pPr>
              <w:pStyle w:val="9"/>
              <w:keepNext w:val="0"/>
              <w:keepLines w:val="0"/>
              <w:pageBreakBefore w:val="0"/>
              <w:wordWrap/>
              <w:overflowPunct/>
              <w:topLinePunct w:val="0"/>
              <w:bidi w:val="0"/>
              <w:snapToGrid w:val="0"/>
              <w:spacing w:line="240" w:lineRule="auto"/>
              <w:ind w:right="0" w:firstLine="1124" w:firstLineChars="400"/>
              <w:jc w:val="both"/>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评</w:t>
            </w:r>
          </w:p>
          <w:p>
            <w:pPr>
              <w:pStyle w:val="9"/>
              <w:keepNext w:val="0"/>
              <w:keepLines w:val="0"/>
              <w:pageBreakBefore w:val="0"/>
              <w:wordWrap/>
              <w:overflowPunct/>
              <w:topLinePunct w:val="0"/>
              <w:bidi w:val="0"/>
              <w:snapToGrid w:val="0"/>
              <w:spacing w:line="240" w:lineRule="auto"/>
              <w:ind w:left="0" w:right="0"/>
              <w:jc w:val="center"/>
              <w:rPr>
                <w:rFonts w:hint="eastAsia" w:ascii="仿宋" w:hAnsi="仿宋" w:eastAsia="仿宋" w:cs="仿宋"/>
                <w:b/>
                <w:bCs/>
                <w:snapToGrid/>
                <w:color w:val="000000"/>
                <w:kern w:val="2"/>
                <w:sz w:val="28"/>
                <w:szCs w:val="28"/>
                <w:highlight w:val="none"/>
                <w:lang w:val="en-US" w:eastAsia="zh-CN" w:bidi="ar-SA"/>
              </w:rPr>
            </w:pPr>
          </w:p>
          <w:p>
            <w:pPr>
              <w:pStyle w:val="9"/>
              <w:keepNext w:val="0"/>
              <w:keepLines w:val="0"/>
              <w:pageBreakBefore w:val="0"/>
              <w:wordWrap/>
              <w:overflowPunct/>
              <w:topLinePunct w:val="0"/>
              <w:bidi w:val="0"/>
              <w:snapToGrid w:val="0"/>
              <w:spacing w:line="240" w:lineRule="auto"/>
              <w:ind w:left="0" w:right="0"/>
              <w:jc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价</w:t>
            </w:r>
          </w:p>
          <w:p>
            <w:pPr>
              <w:pStyle w:val="9"/>
              <w:keepNext w:val="0"/>
              <w:keepLines w:val="0"/>
              <w:pageBreakBefore w:val="0"/>
              <w:wordWrap/>
              <w:overflowPunct/>
              <w:topLinePunct w:val="0"/>
              <w:bidi w:val="0"/>
              <w:snapToGrid w:val="0"/>
              <w:spacing w:line="240" w:lineRule="auto"/>
              <w:ind w:left="0" w:right="0"/>
              <w:jc w:val="center"/>
              <w:rPr>
                <w:rFonts w:hint="eastAsia" w:ascii="仿宋" w:hAnsi="仿宋" w:eastAsia="仿宋" w:cs="仿宋"/>
                <w:b/>
                <w:bCs/>
                <w:snapToGrid/>
                <w:color w:val="000000"/>
                <w:kern w:val="2"/>
                <w:sz w:val="28"/>
                <w:szCs w:val="28"/>
                <w:highlight w:val="none"/>
                <w:lang w:val="en-US" w:eastAsia="zh-CN" w:bidi="ar-SA"/>
              </w:rPr>
            </w:pPr>
          </w:p>
          <w:p>
            <w:pPr>
              <w:pStyle w:val="9"/>
              <w:keepNext w:val="0"/>
              <w:keepLines w:val="0"/>
              <w:pageBreakBefore w:val="0"/>
              <w:wordWrap/>
              <w:overflowPunct/>
              <w:topLinePunct w:val="0"/>
              <w:bidi w:val="0"/>
              <w:snapToGrid w:val="0"/>
              <w:spacing w:line="240" w:lineRule="auto"/>
              <w:ind w:left="0" w:right="0"/>
              <w:jc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依</w:t>
            </w:r>
          </w:p>
          <w:p>
            <w:pPr>
              <w:pStyle w:val="9"/>
              <w:keepNext w:val="0"/>
              <w:keepLines w:val="0"/>
              <w:pageBreakBefore w:val="0"/>
              <w:wordWrap/>
              <w:overflowPunct/>
              <w:topLinePunct w:val="0"/>
              <w:bidi w:val="0"/>
              <w:snapToGrid w:val="0"/>
              <w:spacing w:line="240" w:lineRule="auto"/>
              <w:ind w:left="0" w:right="0"/>
              <w:jc w:val="center"/>
              <w:rPr>
                <w:rFonts w:hint="eastAsia" w:ascii="仿宋" w:hAnsi="仿宋" w:eastAsia="仿宋" w:cs="仿宋"/>
                <w:b/>
                <w:bCs/>
                <w:snapToGrid/>
                <w:color w:val="000000"/>
                <w:kern w:val="2"/>
                <w:sz w:val="28"/>
                <w:szCs w:val="28"/>
                <w:highlight w:val="none"/>
                <w:lang w:val="en-US" w:eastAsia="zh-CN" w:bidi="ar-SA"/>
              </w:rPr>
            </w:pPr>
          </w:p>
          <w:p>
            <w:pPr>
              <w:pStyle w:val="9"/>
              <w:keepNext w:val="0"/>
              <w:keepLines w:val="0"/>
              <w:pageBreakBefore w:val="0"/>
              <w:wordWrap/>
              <w:overflowPunct/>
              <w:topLinePunct w:val="0"/>
              <w:bidi w:val="0"/>
              <w:snapToGrid w:val="0"/>
              <w:spacing w:line="240" w:lineRule="auto"/>
              <w:ind w:left="0" w:right="0"/>
              <w:jc w:val="center"/>
              <w:rPr>
                <w:rFonts w:hint="eastAsia" w:ascii="仿宋" w:hAnsi="仿宋" w:eastAsia="仿宋" w:cs="仿宋"/>
                <w:sz w:val="28"/>
                <w:szCs w:val="28"/>
              </w:rPr>
            </w:pPr>
            <w:r>
              <w:rPr>
                <w:rFonts w:hint="eastAsia" w:ascii="仿宋" w:hAnsi="仿宋" w:eastAsia="仿宋" w:cs="仿宋"/>
                <w:b/>
                <w:bCs/>
                <w:snapToGrid/>
                <w:color w:val="000000"/>
                <w:kern w:val="2"/>
                <w:sz w:val="28"/>
                <w:szCs w:val="28"/>
                <w:highlight w:val="none"/>
                <w:lang w:val="en-US" w:eastAsia="zh-CN" w:bidi="ar-SA"/>
              </w:rPr>
              <w:t>据</w:t>
            </w:r>
          </w:p>
        </w:tc>
        <w:tc>
          <w:tcPr>
            <w:tcW w:w="743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1.《中华人民共和国预算法》；</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2.《中共中央国务院关于全面实施预算绩效管理的意见》（中发〔2018〕34号）；</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3.《财政部关于印发〈项目支出绩效评价管理办法〉的通知》（财预〔2020〕10号）；</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4.《社会保险基金预算绩效管理办法》（财社〔2022〕65号）；</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5.《甘肃省委省政府关于全面实施预算绩效管理的实施意见》（甘发〔2018〕32号）；</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6.《甘肃省财政厅关于印发〈甘肃省省级预算绩效管理办法〉等6个办法和规程的通知》（甘财绩〔2020〕5号）；</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7.</w:t>
            </w:r>
            <w:r>
              <w:rPr>
                <w:rFonts w:hint="eastAsia" w:ascii="仿宋" w:hAnsi="仿宋" w:eastAsia="仿宋" w:cs="仿宋"/>
                <w:color w:val="auto"/>
                <w:sz w:val="28"/>
                <w:szCs w:val="28"/>
                <w:highlight w:val="none"/>
                <w:lang w:val="en-US" w:eastAsia="zh-CN"/>
              </w:rPr>
              <w:t>《甘肃省“十四五”养老服务体系建设规划》；</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color w:val="auto"/>
                <w:sz w:val="28"/>
                <w:szCs w:val="28"/>
                <w:highlight w:val="none"/>
                <w:lang w:val="en-US" w:eastAsia="zh-CN"/>
              </w:rPr>
              <w:t>8.《甘肃省人民政府关于印发“十四五”老龄事业发展和养老服务体系规划的通知》（甘政发〔2022〕124号）</w:t>
            </w:r>
            <w:r>
              <w:rPr>
                <w:rFonts w:hint="eastAsia" w:ascii="仿宋" w:hAnsi="仿宋" w:eastAsia="仿宋" w:cs="仿宋"/>
                <w:snapToGrid/>
                <w:color w:val="000000"/>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9.</w:t>
            </w:r>
            <w:r>
              <w:rPr>
                <w:rFonts w:hint="eastAsia" w:ascii="仿宋" w:hAnsi="仿宋" w:eastAsia="仿宋" w:cs="仿宋"/>
                <w:color w:val="auto"/>
                <w:sz w:val="28"/>
                <w:szCs w:val="28"/>
                <w:highlight w:val="none"/>
                <w:lang w:val="en-US" w:eastAsia="zh-CN"/>
              </w:rPr>
              <w:t>《甘肃省养老服务条例》；</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10.</w:t>
            </w:r>
            <w:r>
              <w:rPr>
                <w:rFonts w:hint="eastAsia" w:ascii="仿宋" w:hAnsi="仿宋" w:eastAsia="仿宋" w:cs="仿宋"/>
                <w:color w:val="auto"/>
                <w:sz w:val="28"/>
                <w:szCs w:val="28"/>
                <w:highlight w:val="none"/>
                <w:lang w:val="en-US" w:eastAsia="zh-CN"/>
              </w:rPr>
              <w:t>《“十四五”民政事业发展规划》</w:t>
            </w:r>
            <w:r>
              <w:rPr>
                <w:rFonts w:hint="eastAsia" w:ascii="仿宋" w:hAnsi="仿宋" w:eastAsia="仿宋" w:cs="仿宋"/>
                <w:snapToGrid/>
                <w:color w:val="000000"/>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11.</w:t>
            </w:r>
            <w:r>
              <w:rPr>
                <w:rFonts w:hint="eastAsia" w:ascii="仿宋" w:hAnsi="仿宋" w:eastAsia="仿宋" w:cs="仿宋"/>
                <w:color w:val="auto"/>
                <w:sz w:val="28"/>
                <w:szCs w:val="28"/>
                <w:highlight w:val="none"/>
                <w:lang w:val="en-US" w:eastAsia="zh-CN"/>
              </w:rPr>
              <w:t>《“十四五”国家老龄事业发展和养老服务体系规划》</w:t>
            </w:r>
            <w:r>
              <w:rPr>
                <w:rFonts w:hint="eastAsia" w:ascii="仿宋" w:hAnsi="仿宋" w:eastAsia="仿宋" w:cs="仿宋"/>
                <w:snapToGrid/>
                <w:color w:val="000000"/>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12.</w:t>
            </w:r>
            <w:r>
              <w:rPr>
                <w:rFonts w:hint="eastAsia" w:ascii="仿宋" w:hAnsi="仿宋" w:eastAsia="仿宋" w:cs="仿宋"/>
                <w:color w:val="auto"/>
                <w:sz w:val="28"/>
                <w:szCs w:val="28"/>
                <w:highlight w:val="none"/>
                <w:lang w:val="en-US" w:eastAsia="zh-CN"/>
              </w:rPr>
              <w:t>《甘肃省积极应对人口老龄化中长期规划（2020—2050）》</w:t>
            </w:r>
            <w:r>
              <w:rPr>
                <w:rFonts w:hint="eastAsia" w:ascii="仿宋" w:hAnsi="仿宋" w:eastAsia="仿宋" w:cs="仿宋"/>
                <w:snapToGrid/>
                <w:color w:val="000000"/>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13.</w:t>
            </w:r>
            <w:r>
              <w:rPr>
                <w:rFonts w:hint="eastAsia" w:ascii="仿宋" w:hAnsi="仿宋" w:eastAsia="仿宋" w:cs="仿宋"/>
                <w:color w:val="auto"/>
                <w:sz w:val="28"/>
                <w:szCs w:val="28"/>
                <w:highlight w:val="none"/>
                <w:lang w:val="en-US" w:eastAsia="zh-CN"/>
              </w:rPr>
              <w:t>《甘肃省国民经济和社会发展第十四个五年规划和2035年远景目标纲要》</w:t>
            </w:r>
            <w:r>
              <w:rPr>
                <w:rFonts w:hint="eastAsia" w:ascii="仿宋" w:hAnsi="仿宋" w:eastAsia="仿宋" w:cs="仿宋"/>
                <w:snapToGrid/>
                <w:color w:val="000000"/>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14.</w:t>
            </w:r>
            <w:r>
              <w:rPr>
                <w:rFonts w:hint="eastAsia" w:ascii="仿宋" w:hAnsi="仿宋" w:eastAsia="仿宋" w:cs="仿宋"/>
                <w:color w:val="auto"/>
                <w:sz w:val="28"/>
                <w:szCs w:val="28"/>
                <w:highlight w:val="none"/>
                <w:lang w:val="en-US" w:eastAsia="zh-CN"/>
              </w:rPr>
              <w:t>《“十四五”国家老龄事业发展和养老服务体系规划》</w:t>
            </w:r>
            <w:r>
              <w:rPr>
                <w:rFonts w:hint="eastAsia" w:ascii="仿宋" w:hAnsi="仿宋" w:eastAsia="仿宋" w:cs="仿宋"/>
                <w:snapToGrid/>
                <w:color w:val="000000"/>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15.</w:t>
            </w:r>
            <w:r>
              <w:rPr>
                <w:rFonts w:hint="eastAsia" w:ascii="仿宋" w:hAnsi="仿宋" w:eastAsia="仿宋" w:cs="仿宋"/>
                <w:color w:val="auto"/>
                <w:sz w:val="28"/>
                <w:szCs w:val="28"/>
                <w:highlight w:val="none"/>
                <w:lang w:val="en-US" w:eastAsia="zh-CN"/>
              </w:rPr>
              <w:t>甘肃省财政厅 甘肃省民政厅《关于提前下达2023年困难群众救助补助预算指标的通知》（甘财社〔2022〕124号）</w:t>
            </w:r>
            <w:r>
              <w:rPr>
                <w:rFonts w:hint="eastAsia" w:ascii="仿宋" w:hAnsi="仿宋" w:eastAsia="仿宋" w:cs="仿宋"/>
                <w:snapToGrid/>
                <w:color w:val="000000"/>
                <w:kern w:val="2"/>
                <w:sz w:val="28"/>
                <w:szCs w:val="28"/>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rPr>
              <w:t>16.</w:t>
            </w:r>
            <w:r>
              <w:rPr>
                <w:rFonts w:hint="eastAsia" w:ascii="仿宋" w:hAnsi="仿宋" w:eastAsia="仿宋" w:cs="仿宋"/>
                <w:color w:val="auto"/>
                <w:sz w:val="28"/>
                <w:szCs w:val="28"/>
                <w:highlight w:val="none"/>
                <w:lang w:val="en-US" w:eastAsia="zh-CN"/>
              </w:rPr>
              <w:t>《张掖市人民政府办公室关于印发张掖市特困人员救助供养实施办法的通知》（张政办发〔2018〕207号）；</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kern w:val="2"/>
                <w:sz w:val="28"/>
                <w:szCs w:val="28"/>
                <w:highlight w:val="none"/>
                <w:lang w:val="en-US" w:eastAsia="zh-CN" w:bidi="ar-SA"/>
              </w:rPr>
              <w:t>物资出入库登记表、物资发放明细表；</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18.</w:t>
            </w:r>
            <w:r>
              <w:rPr>
                <w:rFonts w:hint="eastAsia" w:ascii="仿宋" w:hAnsi="仿宋" w:eastAsia="仿宋" w:cs="仿宋"/>
                <w:color w:val="auto"/>
                <w:sz w:val="28"/>
                <w:szCs w:val="28"/>
                <w:highlight w:val="none"/>
                <w:lang w:val="en-US" w:eastAsia="zh-CN"/>
              </w:rPr>
              <w:t>山丹县2023年度困难群众（夏季）物资采购项目招标、投标、开标、评标和中标资料。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2584"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snapToGrid/>
                <w:color w:val="000000"/>
                <w:kern w:val="2"/>
                <w:sz w:val="28"/>
                <w:szCs w:val="28"/>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snapToGrid/>
                <w:color w:val="000000"/>
                <w:kern w:val="2"/>
                <w:sz w:val="28"/>
                <w:szCs w:val="28"/>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绩效评价</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指标体系</w:t>
            </w:r>
          </w:p>
        </w:tc>
        <w:tc>
          <w:tcPr>
            <w:tcW w:w="7439"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560" w:firstLineChars="200"/>
              <w:jc w:val="left"/>
              <w:textAlignment w:val="center"/>
              <w:rPr>
                <w:rFonts w:hint="default" w:ascii="仿宋" w:hAnsi="仿宋" w:eastAsia="仿宋" w:cs="仿宋"/>
                <w:bCs/>
                <w:snapToGrid/>
                <w:color w:val="000000"/>
                <w:kern w:val="2"/>
                <w:sz w:val="28"/>
                <w:szCs w:val="28"/>
                <w:lang w:val="en-US" w:eastAsia="zh-CN" w:bidi="ar-SA"/>
              </w:rPr>
            </w:pPr>
            <w:r>
              <w:rPr>
                <w:rFonts w:hint="eastAsia" w:ascii="仿宋" w:hAnsi="仿宋" w:eastAsia="仿宋" w:cs="仿宋"/>
                <w:bCs/>
                <w:snapToGrid/>
                <w:color w:val="000000"/>
                <w:kern w:val="2"/>
                <w:sz w:val="28"/>
                <w:szCs w:val="28"/>
                <w:lang w:val="en-US" w:eastAsia="zh-CN" w:bidi="ar-SA"/>
              </w:rPr>
              <w:t>按照《项目支出绩效评价管理办法》（财预〔2020〕10号）的有关要求，遵循相关性、重要性、可比性、系统性</w:t>
            </w:r>
            <w:r>
              <w:rPr>
                <w:rFonts w:hint="eastAsia" w:ascii="仿宋" w:hAnsi="仿宋" w:eastAsia="仿宋" w:cs="仿宋"/>
                <w:bCs/>
                <w:snapToGrid/>
                <w:color w:val="auto"/>
                <w:kern w:val="2"/>
                <w:sz w:val="28"/>
                <w:szCs w:val="28"/>
                <w:lang w:val="en-US" w:eastAsia="zh-CN" w:bidi="ar-SA"/>
              </w:rPr>
              <w:t>及经济性的原则</w:t>
            </w:r>
            <w:r>
              <w:rPr>
                <w:rFonts w:hint="eastAsia" w:ascii="仿宋" w:hAnsi="仿宋" w:eastAsia="仿宋" w:cs="仿宋"/>
                <w:bCs/>
                <w:snapToGrid/>
                <w:color w:val="000000"/>
                <w:kern w:val="2"/>
                <w:sz w:val="28"/>
                <w:szCs w:val="28"/>
                <w:lang w:val="en-US" w:eastAsia="zh-CN" w:bidi="ar-SA"/>
              </w:rPr>
              <w:t>，结合项目的自身特点，此次绩效评价指标体系分别从决策、过程、产出及效益四个方面进行设计。本次绩效评价指标体系由4项一级指标、13项二级指标、</w:t>
            </w:r>
            <w:r>
              <w:rPr>
                <w:rFonts w:hint="eastAsia" w:ascii="仿宋" w:hAnsi="仿宋" w:eastAsia="仿宋" w:cs="仿宋"/>
                <w:bCs/>
                <w:snapToGrid/>
                <w:color w:val="000000"/>
                <w:kern w:val="2"/>
                <w:sz w:val="28"/>
                <w:szCs w:val="28"/>
                <w:highlight w:val="none"/>
                <w:lang w:val="en-US" w:eastAsia="zh-CN" w:bidi="ar-SA"/>
              </w:rPr>
              <w:t>34项三级指标</w:t>
            </w:r>
            <w:r>
              <w:rPr>
                <w:rFonts w:hint="eastAsia" w:ascii="仿宋" w:hAnsi="仿宋" w:eastAsia="仿宋" w:cs="仿宋"/>
                <w:bCs/>
                <w:snapToGrid/>
                <w:color w:val="000000"/>
                <w:kern w:val="2"/>
                <w:sz w:val="28"/>
                <w:szCs w:val="28"/>
                <w:lang w:val="en-US" w:eastAsia="zh-CN" w:bidi="ar-SA"/>
              </w:rPr>
              <w:t>组成。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2584"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sz w:val="28"/>
                <w:szCs w:val="28"/>
              </w:rPr>
            </w:pPr>
            <w:r>
              <w:rPr>
                <w:rFonts w:hint="eastAsia" w:ascii="仿宋" w:hAnsi="仿宋" w:eastAsia="仿宋" w:cs="仿宋"/>
                <w:b/>
                <w:bCs/>
                <w:snapToGrid/>
                <w:color w:val="000000"/>
                <w:kern w:val="2"/>
                <w:sz w:val="28"/>
                <w:szCs w:val="28"/>
                <w:highlight w:val="none"/>
                <w:lang w:val="en-US" w:eastAsia="zh-CN" w:bidi="ar-SA"/>
              </w:rPr>
              <w:t>评价办法</w:t>
            </w:r>
          </w:p>
        </w:tc>
        <w:tc>
          <w:tcPr>
            <w:tcW w:w="7439"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119" w:line="560" w:lineRule="exact"/>
              <w:ind w:right="0"/>
              <w:jc w:val="left"/>
              <w:textAlignment w:val="baseline"/>
              <w:rPr>
                <w:rFonts w:hint="eastAsia" w:ascii="仿宋" w:hAnsi="仿宋" w:eastAsia="仿宋" w:cs="仿宋"/>
                <w:sz w:val="28"/>
                <w:szCs w:val="28"/>
              </w:rPr>
            </w:pPr>
            <w:r>
              <w:rPr>
                <w:rFonts w:hint="eastAsia" w:ascii="仿宋" w:hAnsi="仿宋" w:eastAsia="仿宋" w:cs="仿宋"/>
                <w:snapToGrid/>
                <w:color w:val="000000"/>
                <w:kern w:val="2"/>
                <w:sz w:val="28"/>
                <w:szCs w:val="28"/>
                <w:highlight w:val="none"/>
                <w:lang w:val="en-US" w:eastAsia="zh-CN" w:bidi="ar-SA"/>
              </w:rPr>
              <w:t>成本效益分析法、比较分析法、询问查证法、公众评判法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25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auto"/>
              <w:outlineLvl w:val="9"/>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数据采集及</w:t>
            </w:r>
          </w:p>
          <w:p>
            <w:pPr>
              <w:keepNext w:val="0"/>
              <w:keepLines w:val="0"/>
              <w:pageBreakBefore w:val="0"/>
              <w:widowControl w:val="0"/>
              <w:kinsoku/>
              <w:wordWrap/>
              <w:overflowPunct/>
              <w:topLinePunct w:val="0"/>
              <w:autoSpaceDE/>
              <w:autoSpaceDN/>
              <w:bidi w:val="0"/>
              <w:adjustRightInd w:val="0"/>
              <w:snapToGrid w:val="0"/>
              <w:spacing w:line="360" w:lineRule="auto"/>
              <w:ind w:left="0" w:right="0"/>
              <w:jc w:val="center"/>
              <w:textAlignment w:val="auto"/>
              <w:outlineLvl w:val="9"/>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b/>
                <w:bCs/>
                <w:snapToGrid/>
                <w:color w:val="000000"/>
                <w:kern w:val="2"/>
                <w:sz w:val="28"/>
                <w:szCs w:val="28"/>
                <w:highlight w:val="none"/>
                <w:lang w:val="en-US" w:eastAsia="zh-CN" w:bidi="ar-SA"/>
              </w:rPr>
              <w:t>处理办法</w:t>
            </w:r>
          </w:p>
        </w:tc>
        <w:tc>
          <w:tcPr>
            <w:tcW w:w="743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left="0" w:right="0" w:firstLine="560" w:firstLineChars="200"/>
              <w:jc w:val="both"/>
              <w:textAlignment w:val="auto"/>
              <w:outlineLvl w:val="9"/>
              <w:rPr>
                <w:rFonts w:hint="eastAsia" w:ascii="仿宋" w:hAnsi="仿宋" w:eastAsia="仿宋" w:cs="仿宋"/>
                <w:snapToGrid w:val="0"/>
                <w:color w:val="000000"/>
                <w:kern w:val="0"/>
                <w:sz w:val="28"/>
                <w:szCs w:val="28"/>
                <w:lang w:val="en-US" w:eastAsia="en-US" w:bidi="ar"/>
              </w:rPr>
            </w:pPr>
            <w:r>
              <w:rPr>
                <w:rFonts w:hint="eastAsia" w:ascii="仿宋" w:hAnsi="仿宋" w:eastAsia="仿宋" w:cs="仿宋"/>
                <w:snapToGrid/>
                <w:color w:val="000000"/>
                <w:kern w:val="2"/>
                <w:sz w:val="28"/>
                <w:szCs w:val="28"/>
                <w:highlight w:val="none"/>
                <w:lang w:val="en-US" w:eastAsia="en-US"/>
              </w:rPr>
              <w:t>信息与数据收集采取非现场评价和现场评价等方式进行，数据处理采取科学合理的方法，对整理的资料进行数据提取、筛选及分析。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25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w:t>绩效评价</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jc w:val="center"/>
              <w:textAlignment w:val="center"/>
              <w:rPr>
                <w:rFonts w:hint="eastAsia" w:ascii="仿宋" w:hAnsi="仿宋" w:eastAsia="仿宋" w:cs="仿宋"/>
                <w:snapToGrid w:val="0"/>
                <w:color w:val="000000"/>
                <w:kern w:val="0"/>
                <w:sz w:val="28"/>
                <w:szCs w:val="28"/>
                <w:lang w:val="en-US" w:eastAsia="zh-CN" w:bidi="ar"/>
              </w:rPr>
            </w:pPr>
            <w:r>
              <w:rPr>
                <w:rFonts w:hint="eastAsia" w:ascii="仿宋" w:hAnsi="仿宋" w:eastAsia="仿宋" w:cs="仿宋"/>
                <w:b/>
                <w:bCs/>
                <w:snapToGrid/>
                <w:color w:val="000000"/>
                <w:kern w:val="2"/>
                <w:sz w:val="28"/>
                <w:szCs w:val="28"/>
                <w:highlight w:val="none"/>
                <w:lang w:val="en-US" w:eastAsia="zh-CN" w:bidi="ar-SA"/>
              </w:rPr>
              <w:t>工作过程</w:t>
            </w:r>
          </w:p>
        </w:tc>
        <w:tc>
          <w:tcPr>
            <w:tcW w:w="7439" w:type="dxa"/>
            <w:tcBorders>
              <w:tl2br w:val="nil"/>
              <w:tr2bl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560" w:leftChars="0" w:right="0" w:rightChars="0" w:hanging="560" w:hangingChars="200"/>
              <w:jc w:val="both"/>
              <w:textAlignment w:val="center"/>
              <w:rPr>
                <w:rFonts w:hint="eastAsia" w:ascii="仿宋" w:hAnsi="仿宋" w:eastAsia="仿宋" w:cs="仿宋"/>
                <w:snapToGrid/>
                <w:color w:val="000000"/>
                <w:kern w:val="2"/>
                <w:sz w:val="28"/>
                <w:szCs w:val="28"/>
                <w:highlight w:val="none"/>
                <w:lang w:val="en-US" w:eastAsia="zh-CN"/>
              </w:rPr>
            </w:pPr>
            <w:r>
              <w:rPr>
                <w:rFonts w:hint="eastAsia" w:ascii="仿宋" w:hAnsi="仿宋" w:eastAsia="仿宋" w:cs="仿宋"/>
                <w:snapToGrid/>
                <w:color w:val="000000"/>
                <w:kern w:val="2"/>
                <w:sz w:val="28"/>
                <w:szCs w:val="28"/>
                <w:highlight w:val="none"/>
                <w:lang w:val="en-US" w:eastAsia="zh-CN" w:bidi="ar-SA"/>
              </w:rPr>
              <w:t>1.</w:t>
            </w:r>
            <w:r>
              <w:rPr>
                <w:rFonts w:hint="eastAsia" w:ascii="仿宋" w:hAnsi="仿宋" w:eastAsia="仿宋" w:cs="仿宋"/>
                <w:snapToGrid/>
                <w:color w:val="000000"/>
                <w:kern w:val="2"/>
                <w:sz w:val="28"/>
                <w:szCs w:val="28"/>
                <w:highlight w:val="none"/>
                <w:lang w:val="en-US" w:eastAsia="zh-CN"/>
              </w:rPr>
              <w:t xml:space="preserve">前期准备阶段；2.现场评价阶段；3.撰写报告阶段。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left="559" w:leftChars="266" w:right="0" w:rightChars="0" w:firstLine="280" w:firstLineChars="100"/>
              <w:jc w:val="both"/>
              <w:textAlignment w:val="center"/>
              <w:rPr>
                <w:rFonts w:hint="eastAsia" w:ascii="仿宋" w:hAnsi="仿宋" w:eastAsia="仿宋" w:cs="仿宋"/>
                <w:snapToGrid w:val="0"/>
                <w:color w:val="000000"/>
                <w:kern w:val="0"/>
                <w:sz w:val="28"/>
                <w:szCs w:val="28"/>
                <w:highlight w:val="none"/>
                <w:lang w:val="en-US" w:eastAsia="en-US" w:bidi="ar"/>
              </w:rPr>
            </w:pPr>
            <w:r>
              <w:rPr>
                <w:rFonts w:hint="eastAsia" w:ascii="仿宋" w:hAnsi="仿宋" w:eastAsia="仿宋" w:cs="仿宋"/>
                <w:snapToGrid/>
                <w:color w:val="auto"/>
                <w:kern w:val="2"/>
                <w:sz w:val="28"/>
                <w:szCs w:val="28"/>
                <w:highlight w:val="none"/>
                <w:lang w:val="en-US" w:eastAsia="zh-CN"/>
              </w:rPr>
              <w:t>（2024年9月1日—2024年11月15日）</w:t>
            </w:r>
          </w:p>
        </w:tc>
      </w:tr>
    </w:tbl>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right="0"/>
        <w:jc w:val="center"/>
        <w:textAlignment w:val="center"/>
        <w:rPr>
          <w:rFonts w:hint="eastAsia" w:ascii="仿宋" w:hAnsi="仿宋" w:eastAsia="仿宋" w:cs="仿宋"/>
          <w:b/>
          <w:bCs/>
          <w:snapToGrid/>
          <w:color w:val="000000"/>
          <w:kern w:val="2"/>
          <w:sz w:val="28"/>
          <w:szCs w:val="28"/>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after="0" w:line="240" w:lineRule="auto"/>
        <w:ind w:left="0" w:right="0"/>
        <w:jc w:val="center"/>
        <w:textAlignment w:val="center"/>
        <w:rPr>
          <w:rFonts w:hint="eastAsia" w:ascii="仿宋" w:hAnsi="仿宋" w:eastAsia="仿宋" w:cs="仿宋"/>
          <w:b/>
          <w:bCs/>
          <w:snapToGrid/>
          <w:color w:val="000000"/>
          <w:kern w:val="2"/>
          <w:sz w:val="28"/>
          <w:szCs w:val="28"/>
          <w:highlight w:val="none"/>
          <w:lang w:val="en-US" w:eastAsia="zh-CN" w:bidi="ar-SA"/>
        </w:rPr>
      </w:pPr>
      <w:r>
        <w:rPr>
          <w:rFonts w:hint="eastAsia" w:ascii="仿宋" w:hAnsi="仿宋" w:eastAsia="仿宋" w:cs="仿宋"/>
          <w:b/>
          <w:bCs/>
          <w:snapToGrid/>
          <w:color w:val="000000"/>
          <w:kern w:val="2"/>
          <w:sz w:val="28"/>
          <w:szCs w:val="28"/>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914400</wp:posOffset>
                </wp:positionV>
                <wp:extent cx="5274310" cy="6350"/>
                <wp:effectExtent l="0" t="0" r="0" b="0"/>
                <wp:wrapNone/>
                <wp:docPr id="3" name="任意多边形 2"/>
                <wp:cNvGraphicFramePr/>
                <a:graphic xmlns:a="http://schemas.openxmlformats.org/drawingml/2006/main">
                  <a:graphicData uri="http://schemas.microsoft.com/office/word/2010/wordprocessingShape">
                    <wps:wsp>
                      <wps:cNvSpPr/>
                      <wps:spPr>
                        <a:xfrm>
                          <a:off x="0" y="0"/>
                          <a:ext cx="5274310" cy="6350"/>
                        </a:xfrm>
                        <a:custGeom>
                          <a:avLst/>
                          <a:gdLst/>
                          <a:ahLst/>
                          <a:cxnLst/>
                          <a:pathLst>
                            <a:path w="8305" h="10">
                              <a:moveTo>
                                <a:pt x="0" y="9"/>
                              </a:moveTo>
                              <a:lnTo>
                                <a:pt x="8305" y="9"/>
                              </a:lnTo>
                              <a:lnTo>
                                <a:pt x="8305" y="0"/>
                              </a:lnTo>
                              <a:lnTo>
                                <a:pt x="0" y="0"/>
                              </a:lnTo>
                              <a:lnTo>
                                <a:pt x="0" y="9"/>
                              </a:lnTo>
                              <a:close/>
                            </a:path>
                          </a:pathLst>
                        </a:custGeom>
                        <a:solidFill>
                          <a:srgbClr val="000000"/>
                        </a:solidFill>
                        <a:ln>
                          <a:noFill/>
                        </a:ln>
                        <a:effectLst/>
                      </wps:spPr>
                      <wps:bodyPr wrap="square" upright="1"/>
                    </wps:wsp>
                  </a:graphicData>
                </a:graphic>
              </wp:anchor>
            </w:drawing>
          </mc:Choice>
          <mc:Fallback>
            <w:pict>
              <v:shape id="任意多边形 2" o:spid="_x0000_s1026" o:spt="100" style="position:absolute;left:0pt;margin-left:90pt;margin-top:72pt;height:0.5pt;width:415.3pt;mso-position-horizontal-relative:page;mso-position-vertical-relative:page;z-index:251661312;mso-width-relative:page;mso-height-relative:page;" fillcolor="#000000" filled="t" stroked="f" coordsize="8305,10" o:allowincell="f" o:gfxdata="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DNKWx3WAAAADAEAAA8AAAAAAAAAAQAgAAAAOAAAAGRycy9kb3du&#10;cmV2LnhtbFBLAQIUABQAAAAIAIdO4kBn7en8JAIAAJUEAAAOAAAAAAAAAAEAIAAAADsBAABkcnMv&#10;ZTJvRG9jLnhtbFBLBQYAAAAABgAGAFkBAADRBQAAAAA=&#10;" path="m0,9l8305,9,8305,0,0,0,0,9xe">
                <v:fill on="t" focussize="0,0"/>
                <v:stroke on="f"/>
                <v:imagedata o:title=""/>
                <o:lock v:ext="edit" aspectratio="f"/>
              </v:shape>
            </w:pict>
          </mc:Fallback>
        </mc:AlternateContent>
      </w:r>
      <w:r>
        <w:rPr>
          <w:rFonts w:hint="eastAsia" w:ascii="仿宋" w:hAnsi="仿宋" w:eastAsia="仿宋" w:cs="仿宋"/>
          <w:b/>
          <w:bCs/>
          <w:snapToGrid/>
          <w:color w:val="000000"/>
          <w:kern w:val="2"/>
          <w:sz w:val="28"/>
          <w:szCs w:val="28"/>
          <w:highlight w:val="none"/>
          <w:lang w:val="en-US" w:eastAsia="zh-CN" w:bidi="ar-SA"/>
        </w:rPr>
        <w:t>四、评价结论和绩效分析</w:t>
      </w:r>
    </w:p>
    <w:p>
      <w:pPr>
        <w:keepNext w:val="0"/>
        <w:keepLines w:val="0"/>
        <w:pageBreakBefore w:val="0"/>
        <w:wordWrap/>
        <w:overflowPunct/>
        <w:topLinePunct w:val="0"/>
        <w:bidi w:val="0"/>
        <w:adjustRightInd w:val="0"/>
        <w:snapToGrid w:val="0"/>
        <w:spacing w:line="240" w:lineRule="auto"/>
        <w:ind w:left="0" w:right="0"/>
        <w:rPr>
          <w:rFonts w:hint="eastAsia" w:ascii="仿宋" w:hAnsi="仿宋" w:eastAsia="仿宋" w:cs="仿宋"/>
          <w:sz w:val="28"/>
          <w:szCs w:val="28"/>
        </w:rPr>
      </w:pPr>
    </w:p>
    <w:tbl>
      <w:tblPr>
        <w:tblStyle w:val="10"/>
        <w:tblW w:w="9785" w:type="dxa"/>
        <w:tblInd w:w="-658" w:type="dxa"/>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477"/>
        <w:gridCol w:w="1293"/>
        <w:gridCol w:w="1123"/>
        <w:gridCol w:w="1246"/>
        <w:gridCol w:w="1307"/>
        <w:gridCol w:w="1077"/>
        <w:gridCol w:w="1262"/>
      </w:tblGrid>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477"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b/>
                <w:bCs/>
                <w:sz w:val="28"/>
                <w:szCs w:val="28"/>
              </w:rPr>
            </w:pPr>
            <w:r>
              <w:rPr>
                <w:rFonts w:hint="eastAsia" w:ascii="仿宋" w:hAnsi="仿宋" w:eastAsia="仿宋" w:cs="仿宋"/>
                <w:b/>
                <w:bCs/>
                <w:snapToGrid/>
                <w:color w:val="000000"/>
                <w:kern w:val="2"/>
                <w:sz w:val="28"/>
                <w:szCs w:val="28"/>
                <w:highlight w:val="none"/>
                <w:lang w:val="en-US" w:eastAsia="zh-CN" w:bidi="ar-SA"/>
              </w:rPr>
              <w:t>综合评价结论</w:t>
            </w:r>
          </w:p>
        </w:tc>
        <w:tc>
          <w:tcPr>
            <w:tcW w:w="1293"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仿宋" w:hAnsi="仿宋" w:eastAsia="仿宋" w:cs="仿宋"/>
                <w:b/>
                <w:bCs/>
                <w:sz w:val="28"/>
                <w:szCs w:val="28"/>
              </w:rPr>
            </w:pPr>
            <w:r>
              <w:rPr>
                <w:rFonts w:hint="eastAsia" w:ascii="仿宋" w:hAnsi="仿宋" w:eastAsia="仿宋" w:cs="仿宋"/>
                <w:b/>
                <w:bCs/>
                <w:spacing w:val="-2"/>
                <w:sz w:val="28"/>
                <w:szCs w:val="28"/>
              </w:rPr>
              <w:t>评价得分</w:t>
            </w:r>
          </w:p>
        </w:tc>
        <w:tc>
          <w:tcPr>
            <w:tcW w:w="2369" w:type="dxa"/>
            <w:gridSpan w:val="2"/>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default" w:ascii="仿宋" w:hAnsi="仿宋" w:eastAsia="仿宋" w:cs="仿宋"/>
                <w:b/>
                <w:bCs/>
                <w:sz w:val="28"/>
                <w:szCs w:val="28"/>
                <w:lang w:val="en-US"/>
              </w:rPr>
            </w:pPr>
            <w:r>
              <w:rPr>
                <w:rFonts w:hint="eastAsia" w:ascii="仿宋" w:hAnsi="仿宋" w:eastAsia="仿宋" w:cs="仿宋"/>
                <w:b/>
                <w:bCs/>
                <w:sz w:val="28"/>
                <w:szCs w:val="28"/>
                <w:lang w:val="en-US" w:eastAsia="zh-CN"/>
              </w:rPr>
              <w:t>86.41</w:t>
            </w:r>
          </w:p>
        </w:tc>
        <w:tc>
          <w:tcPr>
            <w:tcW w:w="130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sz w:val="28"/>
                <w:szCs w:val="28"/>
              </w:rPr>
            </w:pPr>
            <w:r>
              <w:rPr>
                <w:rFonts w:hint="eastAsia" w:ascii="仿宋" w:hAnsi="仿宋" w:eastAsia="仿宋" w:cs="仿宋"/>
                <w:b/>
                <w:bCs/>
                <w:spacing w:val="-2"/>
                <w:sz w:val="28"/>
                <w:szCs w:val="28"/>
              </w:rPr>
              <w:t>评价等级</w:t>
            </w:r>
          </w:p>
        </w:tc>
        <w:tc>
          <w:tcPr>
            <w:tcW w:w="2339" w:type="dxa"/>
            <w:gridSpan w:val="2"/>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良</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477" w:type="dxa"/>
            <w:vMerge w:val="restart"/>
            <w:tcBorders>
              <w:tl2br w:val="nil"/>
              <w:tr2bl w:val="nil"/>
            </w:tcBorders>
            <w:noWrap w:val="0"/>
            <w:vAlign w:val="top"/>
          </w:tcPr>
          <w:p>
            <w:pPr>
              <w:keepNext w:val="0"/>
              <w:keepLines w:val="0"/>
              <w:pageBreakBefore w:val="0"/>
              <w:widowControl/>
              <w:wordWrap/>
              <w:overflowPunct/>
              <w:topLinePunct w:val="0"/>
              <w:bidi w:val="0"/>
              <w:adjustRightInd w:val="0"/>
              <w:snapToGrid w:val="0"/>
              <w:spacing w:line="240" w:lineRule="auto"/>
              <w:ind w:left="0" w:right="0"/>
              <w:rPr>
                <w:rFonts w:hint="eastAsia" w:ascii="仿宋" w:hAnsi="仿宋" w:eastAsia="仿宋" w:cs="仿宋"/>
                <w:b/>
                <w:bCs/>
                <w:sz w:val="28"/>
                <w:szCs w:val="28"/>
              </w:rPr>
            </w:pPr>
          </w:p>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仿宋" w:hAnsi="仿宋" w:eastAsia="仿宋" w:cs="仿宋"/>
                <w:b/>
                <w:bCs/>
                <w:sz w:val="28"/>
                <w:szCs w:val="28"/>
              </w:rPr>
            </w:pPr>
            <w:r>
              <w:rPr>
                <w:rFonts w:hint="eastAsia" w:ascii="仿宋" w:hAnsi="仿宋" w:eastAsia="仿宋" w:cs="仿宋"/>
                <w:b/>
                <w:bCs/>
                <w:spacing w:val="-3"/>
                <w:sz w:val="28"/>
                <w:szCs w:val="28"/>
                <w:lang w:val="en-US" w:eastAsia="zh-CN"/>
              </w:rPr>
              <w:t>绩效</w:t>
            </w:r>
            <w:r>
              <w:rPr>
                <w:rFonts w:hint="eastAsia" w:ascii="仿宋" w:hAnsi="仿宋" w:eastAsia="仿宋" w:cs="仿宋"/>
                <w:b/>
                <w:bCs/>
                <w:spacing w:val="-3"/>
                <w:sz w:val="28"/>
                <w:szCs w:val="28"/>
              </w:rPr>
              <w:t>分析</w:t>
            </w:r>
          </w:p>
        </w:tc>
        <w:tc>
          <w:tcPr>
            <w:tcW w:w="1293"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firstLine="275" w:firstLineChars="100"/>
              <w:jc w:val="both"/>
              <w:rPr>
                <w:rFonts w:hint="eastAsia" w:ascii="仿宋" w:hAnsi="仿宋" w:eastAsia="仿宋" w:cs="仿宋"/>
                <w:b/>
                <w:bCs/>
                <w:sz w:val="28"/>
                <w:szCs w:val="28"/>
              </w:rPr>
            </w:pPr>
            <w:r>
              <w:rPr>
                <w:rFonts w:hint="eastAsia" w:ascii="仿宋" w:hAnsi="仿宋" w:eastAsia="仿宋" w:cs="仿宋"/>
                <w:b/>
                <w:bCs/>
                <w:spacing w:val="-3"/>
                <w:sz w:val="28"/>
                <w:szCs w:val="28"/>
              </w:rPr>
              <w:t>指标</w:t>
            </w:r>
          </w:p>
        </w:tc>
        <w:tc>
          <w:tcPr>
            <w:tcW w:w="1123"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sz w:val="28"/>
                <w:szCs w:val="28"/>
              </w:rPr>
            </w:pPr>
            <w:r>
              <w:rPr>
                <w:rFonts w:hint="eastAsia" w:ascii="仿宋" w:hAnsi="仿宋" w:eastAsia="仿宋" w:cs="仿宋"/>
                <w:b/>
                <w:bCs/>
                <w:sz w:val="28"/>
                <w:szCs w:val="28"/>
              </w:rPr>
              <w:t>决策</w:t>
            </w:r>
          </w:p>
        </w:tc>
        <w:tc>
          <w:tcPr>
            <w:tcW w:w="1246"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sz w:val="28"/>
                <w:szCs w:val="28"/>
              </w:rPr>
            </w:pPr>
            <w:r>
              <w:rPr>
                <w:rFonts w:hint="eastAsia" w:ascii="仿宋" w:hAnsi="仿宋" w:eastAsia="仿宋" w:cs="仿宋"/>
                <w:b/>
                <w:bCs/>
                <w:sz w:val="28"/>
                <w:szCs w:val="28"/>
              </w:rPr>
              <w:t>过程</w:t>
            </w:r>
          </w:p>
        </w:tc>
        <w:tc>
          <w:tcPr>
            <w:tcW w:w="130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sz w:val="28"/>
                <w:szCs w:val="28"/>
              </w:rPr>
            </w:pPr>
            <w:r>
              <w:rPr>
                <w:rFonts w:hint="eastAsia" w:ascii="仿宋" w:hAnsi="仿宋" w:eastAsia="仿宋" w:cs="仿宋"/>
                <w:b/>
                <w:bCs/>
                <w:sz w:val="28"/>
                <w:szCs w:val="28"/>
              </w:rPr>
              <w:t>产出</w:t>
            </w:r>
          </w:p>
        </w:tc>
        <w:tc>
          <w:tcPr>
            <w:tcW w:w="107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sz w:val="28"/>
                <w:szCs w:val="28"/>
              </w:rPr>
            </w:pPr>
            <w:r>
              <w:rPr>
                <w:rFonts w:hint="eastAsia" w:ascii="仿宋" w:hAnsi="仿宋" w:eastAsia="仿宋" w:cs="仿宋"/>
                <w:b/>
                <w:bCs/>
                <w:sz w:val="28"/>
                <w:szCs w:val="28"/>
              </w:rPr>
              <w:t>效益</w:t>
            </w:r>
          </w:p>
        </w:tc>
        <w:tc>
          <w:tcPr>
            <w:tcW w:w="1262"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sz w:val="28"/>
                <w:szCs w:val="28"/>
              </w:rPr>
            </w:pPr>
            <w:r>
              <w:rPr>
                <w:rFonts w:hint="eastAsia" w:ascii="仿宋" w:hAnsi="仿宋" w:eastAsia="仿宋" w:cs="仿宋"/>
                <w:b/>
                <w:bCs/>
                <w:sz w:val="28"/>
                <w:szCs w:val="28"/>
              </w:rPr>
              <w:t>合计</w:t>
            </w:r>
          </w:p>
        </w:tc>
      </w:tr>
      <w:tr>
        <w:tblPrEx>
          <w:tblBorders>
            <w:top w:val="single" w:color="auto" w:sz="4" w:space="0"/>
            <w:left w:val="none" w:color="auto" w:sz="0" w:space="0"/>
            <w:bottom w:val="single" w:color="auto"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477" w:type="dxa"/>
            <w:vMerge w:val="continue"/>
            <w:tcBorders>
              <w:tl2br w:val="nil"/>
              <w:tr2bl w:val="nil"/>
            </w:tcBorders>
            <w:noWrap w:val="0"/>
            <w:vAlign w:val="center"/>
          </w:tcPr>
          <w:p>
            <w:pPr>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sz w:val="28"/>
                <w:szCs w:val="28"/>
              </w:rPr>
            </w:pPr>
          </w:p>
        </w:tc>
        <w:tc>
          <w:tcPr>
            <w:tcW w:w="1293"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right="0"/>
              <w:jc w:val="center"/>
              <w:rPr>
                <w:rFonts w:hint="eastAsia" w:ascii="仿宋" w:hAnsi="仿宋" w:eastAsia="仿宋" w:cs="仿宋"/>
                <w:b/>
                <w:bCs/>
                <w:sz w:val="28"/>
                <w:szCs w:val="28"/>
              </w:rPr>
            </w:pPr>
            <w:r>
              <w:rPr>
                <w:rFonts w:hint="eastAsia" w:ascii="仿宋" w:hAnsi="仿宋" w:eastAsia="仿宋" w:cs="仿宋"/>
                <w:b/>
                <w:bCs/>
                <w:spacing w:val="-3"/>
                <w:sz w:val="28"/>
                <w:szCs w:val="28"/>
                <w:lang w:val="en-US" w:eastAsia="zh-CN"/>
              </w:rPr>
              <w:t>得分率</w:t>
            </w:r>
          </w:p>
        </w:tc>
        <w:tc>
          <w:tcPr>
            <w:tcW w:w="1123"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70%</w:t>
            </w:r>
          </w:p>
        </w:tc>
        <w:tc>
          <w:tcPr>
            <w:tcW w:w="1246"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85%</w:t>
            </w:r>
          </w:p>
        </w:tc>
        <w:tc>
          <w:tcPr>
            <w:tcW w:w="130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89.40%</w:t>
            </w:r>
          </w:p>
        </w:tc>
        <w:tc>
          <w:tcPr>
            <w:tcW w:w="1077"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100%</w:t>
            </w:r>
          </w:p>
        </w:tc>
        <w:tc>
          <w:tcPr>
            <w:tcW w:w="1262" w:type="dxa"/>
            <w:tcBorders>
              <w:tl2br w:val="nil"/>
              <w:tr2bl w:val="nil"/>
            </w:tcBorders>
            <w:noWrap w:val="0"/>
            <w:vAlign w:val="center"/>
          </w:tcPr>
          <w:p>
            <w:pPr>
              <w:pStyle w:val="9"/>
              <w:keepNext w:val="0"/>
              <w:keepLines w:val="0"/>
              <w:pageBreakBefore w:val="0"/>
              <w:widowControl/>
              <w:wordWrap/>
              <w:overflowPunct/>
              <w:topLinePunct w:val="0"/>
              <w:bidi w:val="0"/>
              <w:adjustRightInd w:val="0"/>
              <w:snapToGrid w:val="0"/>
              <w:spacing w:line="240" w:lineRule="auto"/>
              <w:ind w:left="0" w:right="0"/>
              <w:jc w:val="center"/>
              <w:rPr>
                <w:rFonts w:hint="eastAsia" w:ascii="仿宋" w:hAnsi="仿宋" w:eastAsia="仿宋" w:cs="仿宋"/>
                <w:b/>
                <w:bCs/>
                <w:sz w:val="28"/>
                <w:szCs w:val="28"/>
                <w:lang w:val="en-US" w:eastAsia="zh-CN"/>
              </w:rPr>
            </w:pPr>
            <w:r>
              <w:rPr>
                <w:rFonts w:hint="eastAsia" w:ascii="仿宋" w:hAnsi="仿宋" w:eastAsia="仿宋" w:cs="仿宋"/>
                <w:b/>
                <w:bCs w:val="0"/>
                <w:color w:val="auto"/>
                <w:kern w:val="2"/>
                <w:sz w:val="28"/>
                <w:szCs w:val="28"/>
                <w:highlight w:val="none"/>
                <w:lang w:val="en-US" w:eastAsia="zh-CN" w:bidi="ar-SA"/>
              </w:rPr>
              <w:t>86.41%</w:t>
            </w:r>
          </w:p>
        </w:tc>
      </w:tr>
    </w:tbl>
    <w:p>
      <w:pPr>
        <w:keepNext w:val="0"/>
        <w:keepLines w:val="0"/>
        <w:pageBreakBefore w:val="0"/>
        <w:widowControl/>
        <w:suppressLineNumbers w:val="0"/>
        <w:kinsoku/>
        <w:wordWrap/>
        <w:overflowPunct/>
        <w:topLinePunct w:val="0"/>
        <w:autoSpaceDE/>
        <w:autoSpaceDN/>
        <w:bidi w:val="0"/>
        <w:adjustRightInd w:val="0"/>
        <w:snapToGrid w:val="0"/>
        <w:spacing w:line="360" w:lineRule="auto"/>
        <w:jc w:val="center"/>
        <w:textAlignment w:val="center"/>
        <w:rPr>
          <w:rFonts w:hint="eastAsia" w:ascii="仿宋" w:hAnsi="仿宋" w:eastAsia="仿宋" w:cs="仿宋"/>
          <w:b/>
          <w:bCs/>
          <w:snapToGrid/>
          <w:color w:val="000000"/>
          <w:kern w:val="2"/>
          <w:sz w:val="28"/>
          <w:szCs w:val="28"/>
          <w:highlight w:val="none"/>
          <w:lang w:val="en-US" w:eastAsia="zh-CN" w:bidi="ar-SA"/>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仿宋" w:hAnsi="仿宋" w:eastAsia="仿宋" w:cs="仿宋"/>
          <w:sz w:val="28"/>
          <w:szCs w:val="28"/>
        </w:rPr>
        <w:sectPr>
          <w:footerReference r:id="rId5" w:type="default"/>
          <w:pgSz w:w="11907" w:h="16839"/>
          <w:pgMar w:top="1440" w:right="1803" w:bottom="1440" w:left="1803" w:header="0" w:footer="974" w:gutter="0"/>
          <w:pgBorders>
            <w:top w:val="none" w:sz="0" w:space="0"/>
            <w:left w:val="none" w:sz="0" w:space="0"/>
            <w:bottom w:val="none" w:sz="0" w:space="0"/>
            <w:right w:val="none" w:sz="0" w:space="0"/>
          </w:pgBorders>
          <w:cols w:space="720" w:num="1"/>
        </w:sectPr>
      </w:pPr>
      <w:r>
        <w:rPr>
          <w:rFonts w:hint="eastAsia" w:ascii="仿宋" w:hAnsi="仿宋" w:eastAsia="仿宋" w:cs="仿宋"/>
          <w:b/>
          <w:bCs/>
          <w:snapToGrid/>
          <w:color w:val="000000"/>
          <w:kern w:val="2"/>
          <w:sz w:val="28"/>
          <w:szCs w:val="28"/>
          <w:highlight w:val="none"/>
          <w:lang w:val="en-US" w:eastAsia="zh-CN" w:bidi="ar-SA"/>
        </w:rPr>
        <w:t>五、存在问题</w:t>
      </w:r>
    </w:p>
    <w:p>
      <w:pPr>
        <w:keepNext w:val="0"/>
        <w:keepLines w:val="0"/>
        <w:pageBreakBefore w:val="0"/>
        <w:widowControl/>
        <w:wordWrap/>
        <w:overflowPunct/>
        <w:topLinePunct w:val="0"/>
        <w:bidi w:val="0"/>
        <w:adjustRightInd w:val="0"/>
        <w:snapToGrid w:val="0"/>
        <w:spacing w:line="240" w:lineRule="auto"/>
        <w:rPr>
          <w:rFonts w:hint="eastAsia" w:ascii="仿宋" w:hAnsi="仿宋" w:eastAsia="仿宋" w:cs="仿宋"/>
          <w:sz w:val="28"/>
          <w:szCs w:val="28"/>
        </w:rPr>
      </w:pPr>
    </w:p>
    <w:tbl>
      <w:tblPr>
        <w:tblStyle w:val="10"/>
        <w:tblW w:w="10088" w:type="dxa"/>
        <w:jc w:val="center"/>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10088"/>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0" w:hRule="atLeast"/>
          <w:jc w:val="center"/>
        </w:trPr>
        <w:tc>
          <w:tcPr>
            <w:tcW w:w="1008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val="0"/>
                <w:color w:val="auto"/>
                <w:sz w:val="28"/>
                <w:szCs w:val="28"/>
                <w:highlight w:val="none"/>
                <w:lang w:val="en-US" w:eastAsia="zh-CN"/>
              </w:rPr>
            </w:pPr>
            <w:bookmarkStart w:id="0" w:name="_Toc7676"/>
            <w:bookmarkStart w:id="1" w:name="_Toc22007"/>
            <w:r>
              <w:rPr>
                <w:rFonts w:hint="eastAsia" w:ascii="仿宋" w:hAnsi="仿宋" w:eastAsia="仿宋" w:cs="仿宋"/>
                <w:b/>
                <w:bCs w:val="0"/>
                <w:color w:val="auto"/>
                <w:sz w:val="28"/>
                <w:szCs w:val="28"/>
                <w:highlight w:val="none"/>
                <w:lang w:val="en-US" w:eastAsia="zh-CN"/>
              </w:rPr>
              <w:t>（一）项目绩效目标设置不合理</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baseline"/>
              <w:rPr>
                <w:rFonts w:hint="default"/>
                <w:lang w:val="en-US" w:eastAsia="zh-CN"/>
              </w:rPr>
            </w:pPr>
            <w:r>
              <w:rPr>
                <w:rFonts w:hint="eastAsia" w:ascii="仿宋" w:hAnsi="仿宋" w:eastAsia="仿宋" w:cs="仿宋"/>
                <w:b w:val="0"/>
                <w:bCs w:val="0"/>
                <w:snapToGrid/>
                <w:color w:val="000000"/>
                <w:kern w:val="2"/>
                <w:sz w:val="28"/>
                <w:szCs w:val="28"/>
                <w:lang w:val="en-US" w:eastAsia="zh-CN" w:bidi="ar-SA"/>
              </w:rPr>
              <w:t>经绩效评价组实地核查，山丹县民政局按照《项目支出绩效评价管理办法的通知》（财预〔2020〕10号）及甘肃省财政厅印发的《甘肃省省级预算绩效管理办法》（甘财绩〔2020〕5号）文件要求，填报了项目支出绩效目标申报表。该项目设定了总体绩效目标及年度绩效目标，但绩效目标的设定不够细化、合理，未根据项目实施内容设置准确的绩效目标，不符合《关于印发〈甘肃省省级预算绩效管理办法〉等6个办法和规程的通知》（甘财绩〔2021〕5号）中关于“绩效目标是充分反映预算资金的预期产出和效果等情况的总体描述，并相应细化、量化为绩效指标”的要求，</w:t>
            </w:r>
            <w:r>
              <w:rPr>
                <w:rFonts w:hint="eastAsia" w:ascii="仿宋" w:hAnsi="仿宋" w:eastAsia="仿宋" w:cs="仿宋"/>
                <w:b w:val="0"/>
                <w:bCs w:val="0"/>
                <w:snapToGrid/>
                <w:color w:val="000000"/>
                <w:kern w:val="2"/>
                <w:sz w:val="28"/>
                <w:szCs w:val="28"/>
                <w:highlight w:val="none"/>
                <w:lang w:val="en-US" w:eastAsia="zh-CN" w:bidi="ar-SA"/>
              </w:rPr>
              <w:t>项目支出绩效目标的设定应为该项目全部预算资金在一定期限内预期达到的总体产出和效果。</w:t>
            </w:r>
          </w:p>
          <w:bookmarkEnd w:id="0"/>
          <w:bookmarkEnd w:id="1"/>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val="0"/>
                <w:i w:val="0"/>
                <w:iCs w:val="0"/>
                <w:color w:val="auto"/>
                <w:sz w:val="28"/>
                <w:szCs w:val="28"/>
                <w:highlight w:val="none"/>
                <w:lang w:val="en-US" w:eastAsia="zh-CN"/>
              </w:rPr>
            </w:pPr>
            <w:bookmarkStart w:id="2" w:name="_Toc26558"/>
            <w:bookmarkStart w:id="3" w:name="_Toc14063"/>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val="0"/>
                <w:i w:val="0"/>
                <w:iCs w:val="0"/>
                <w:color w:val="auto"/>
                <w:sz w:val="28"/>
                <w:szCs w:val="28"/>
                <w:highlight w:val="none"/>
                <w:lang w:val="en-US" w:eastAsia="zh-CN"/>
              </w:rPr>
            </w:pPr>
            <w:r>
              <w:rPr>
                <w:rFonts w:hint="eastAsia" w:ascii="仿宋" w:hAnsi="仿宋" w:eastAsia="仿宋" w:cs="仿宋"/>
                <w:b/>
                <w:bCs w:val="0"/>
                <w:i w:val="0"/>
                <w:iCs w:val="0"/>
                <w:color w:val="auto"/>
                <w:sz w:val="28"/>
                <w:szCs w:val="28"/>
                <w:highlight w:val="none"/>
                <w:lang w:val="en-US" w:eastAsia="zh-CN"/>
              </w:rPr>
              <w:t>（二）项目绩效指标设置不够细化、明确</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baseline"/>
              <w:rPr>
                <w:rFonts w:hint="default" w:ascii="仿宋" w:hAnsi="仿宋" w:eastAsia="仿宋" w:cs="仿宋"/>
                <w:b w:val="0"/>
                <w:bCs w:val="0"/>
                <w:snapToGrid/>
                <w:color w:val="000000"/>
                <w:kern w:val="2"/>
                <w:sz w:val="28"/>
                <w:szCs w:val="28"/>
                <w:lang w:val="en-US" w:eastAsia="zh-CN" w:bidi="ar-SA"/>
              </w:rPr>
            </w:pPr>
            <w:r>
              <w:rPr>
                <w:rFonts w:hint="eastAsia" w:ascii="仿宋" w:hAnsi="仿宋" w:eastAsia="仿宋" w:cs="仿宋"/>
                <w:b w:val="0"/>
                <w:bCs w:val="0"/>
                <w:snapToGrid/>
                <w:color w:val="000000"/>
                <w:kern w:val="2"/>
                <w:sz w:val="28"/>
                <w:szCs w:val="28"/>
                <w:lang w:val="en-US" w:eastAsia="zh-CN" w:bidi="ar-SA"/>
              </w:rPr>
              <w:t>经查阅《山丹县2023年度困难群众（夏季）物资采购项目绩效目标申报表》，该项目已将绩效目标细化分解为具体的绩效指标，但是绩效指标设置不够合理、明确。例如：</w:t>
            </w:r>
            <w:r>
              <w:rPr>
                <w:rFonts w:hint="eastAsia" w:ascii="仿宋" w:hAnsi="仿宋" w:eastAsia="仿宋" w:cs="仿宋"/>
                <w:b w:val="0"/>
                <w:bCs w:val="0"/>
                <w:snapToGrid/>
                <w:color w:val="000000"/>
                <w:kern w:val="2"/>
                <w:sz w:val="28"/>
                <w:szCs w:val="28"/>
                <w:highlight w:val="none"/>
                <w:lang w:val="en-US" w:eastAsia="zh-CN" w:bidi="ar-SA"/>
              </w:rPr>
              <w:t>产出指标下未</w:t>
            </w:r>
            <w:r>
              <w:rPr>
                <w:rFonts w:hint="eastAsia" w:ascii="仿宋" w:hAnsi="仿宋" w:eastAsia="仿宋" w:cs="仿宋"/>
                <w:b w:val="0"/>
                <w:bCs w:val="0"/>
                <w:snapToGrid/>
                <w:color w:val="000000"/>
                <w:kern w:val="2"/>
                <w:sz w:val="28"/>
                <w:szCs w:val="28"/>
                <w:lang w:val="en-US" w:eastAsia="zh-CN" w:bidi="ar-SA"/>
              </w:rPr>
              <w:t>设置成本指标，成本指标反映的是预期提供公共产品和服务所需成本的控制情况；效益指标中该物资采购项目不产生经济效益，不应设定该指标，经济效益指标指的是通过项目实施反映相关产出对经济发展带来的影响和效果；社会效益指标—周边居民好评率，设置不合理，社会效益指标指的是反映相关产出对社会发展带来的影响和效果。</w:t>
            </w:r>
          </w:p>
          <w:bookmarkEnd w:id="2"/>
          <w:bookmarkEnd w:id="3"/>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val="0"/>
                <w:color w:val="auto"/>
                <w:sz w:val="28"/>
                <w:szCs w:val="28"/>
                <w:highlight w:val="yellow"/>
                <w:lang w:val="en-US" w:eastAsia="zh-CN"/>
              </w:rPr>
            </w:pPr>
            <w:bookmarkStart w:id="4" w:name="_Toc21208"/>
            <w:r>
              <w:rPr>
                <w:rFonts w:hint="eastAsia" w:ascii="仿宋" w:hAnsi="仿宋" w:eastAsia="仿宋" w:cs="仿宋"/>
                <w:b/>
                <w:bCs w:val="0"/>
                <w:color w:val="auto"/>
                <w:sz w:val="28"/>
                <w:szCs w:val="28"/>
                <w:highlight w:val="none"/>
                <w:lang w:val="en-US" w:eastAsia="zh-CN"/>
              </w:rPr>
              <w:t>（三）内控机制不健全</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baseline"/>
              <w:rPr>
                <w:rFonts w:hint="eastAsia" w:ascii="仿宋" w:hAnsi="仿宋" w:eastAsia="仿宋" w:cs="仿宋"/>
                <w:b w:val="0"/>
                <w:bCs w:val="0"/>
                <w:snapToGrid/>
                <w:color w:val="000000"/>
                <w:kern w:val="2"/>
                <w:sz w:val="28"/>
                <w:szCs w:val="28"/>
                <w:lang w:val="en-US" w:eastAsia="zh-CN" w:bidi="ar-SA"/>
              </w:rPr>
            </w:pPr>
            <w:r>
              <w:rPr>
                <w:rFonts w:hint="eastAsia" w:ascii="仿宋" w:hAnsi="仿宋" w:eastAsia="仿宋" w:cs="仿宋"/>
                <w:b w:val="0"/>
                <w:bCs w:val="0"/>
                <w:snapToGrid/>
                <w:color w:val="000000"/>
                <w:kern w:val="2"/>
                <w:sz w:val="28"/>
                <w:szCs w:val="28"/>
                <w:lang w:val="en-US" w:eastAsia="zh-CN" w:bidi="ar-SA"/>
              </w:rPr>
              <w:t>经绩效评价组实地核查，山丹县民政局针对山丹县2023年度困难群众（夏季）物资采购项目，按照国家有关规定严格履行采购流程。但该单位并未制定专门的政府采购内控管理办法，未建立“分岗设权、分级授权”的采购岗位管理机制及政府采购和政府购买服务各重点事项内部审查机制，对采购需求管理中的重点风险事项和采购实施计划未进行审查。</w:t>
            </w:r>
          </w:p>
          <w:bookmarkEnd w:id="4"/>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（四）履约验收不规范</w:t>
            </w:r>
          </w:p>
          <w:p>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经核查项目相关资料，山丹县2023年度困难群众（夏季）物资采购项目，物资由山丹县浙雅商贸有限公司提供，</w:t>
            </w:r>
            <w:r>
              <w:rPr>
                <w:rFonts w:hint="eastAsia" w:ascii="仿宋" w:hAnsi="仿宋" w:eastAsia="仿宋" w:cs="仿宋"/>
                <w:bCs/>
                <w:color w:val="auto"/>
                <w:sz w:val="28"/>
                <w:szCs w:val="28"/>
                <w:highlight w:val="none"/>
                <w:u w:val="none"/>
                <w:lang w:val="en-US" w:eastAsia="zh-CN"/>
              </w:rPr>
              <w:t>政府采购合同中约定了物资到货验收后质保金的支付方式，</w:t>
            </w:r>
            <w:r>
              <w:rPr>
                <w:rFonts w:hint="eastAsia" w:ascii="仿宋" w:hAnsi="仿宋" w:eastAsia="仿宋" w:cs="仿宋"/>
                <w:bCs/>
                <w:color w:val="auto"/>
                <w:sz w:val="28"/>
                <w:szCs w:val="28"/>
                <w:highlight w:val="none"/>
                <w:lang w:val="en-US" w:eastAsia="zh-CN"/>
              </w:rPr>
              <w:t>物资到货后由山丹县民政局组织专人进行验收，但是存在物资验收过程不严谨、验收结果不准确的问题，验收单中数量及金额与采购合同中报价明细表中数量与金额不一致，验收单中物资金额合计1,072,347.00元，远小于物资采购合同报价1,156,819.00元，毛巾被数量错误，按照合同数量应为1006条，床单数量及金额均填写错误；履约验收资料未整理、未装订成册进行归档。</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（五）全过程预算绩效管理不规范</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 w:val="0"/>
                <w:bCs w:val="0"/>
                <w:snapToGrid/>
                <w:color w:val="000000"/>
                <w:kern w:val="2"/>
                <w:sz w:val="28"/>
                <w:szCs w:val="28"/>
                <w:lang w:val="en-US" w:eastAsia="zh-CN" w:bidi="ar-SA"/>
              </w:rPr>
              <w:t>经核查项目相关资料，山丹县民政局对困难群众（夏季）物资采购项目按照全面实施绩效管理的要求，对项目实施及时开展绩效评价工作，并出具了绩效自评报告及绩效自评表，项目支出绩效自评表数据完整，但自评表中绩效目标指标和指标值与年初绩效目标情况不一致，同时效益由于指标设置存在不合理的情况，未准确反映出项目资金执行所达到的效益情况；绩效自评报告内容不完整，报告中对项目效益指标实现情况未具体展开分析，缺少项目自评结果拟应用及公开情况说明部分。</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（六）资金支付未按照合同约定执行</w:t>
            </w:r>
          </w:p>
          <w:p>
            <w:pPr>
              <w:pStyle w:val="3"/>
              <w:keepNext w:val="0"/>
              <w:keepLines w:val="0"/>
              <w:pageBreakBefore w:val="0"/>
              <w:widowControl/>
              <w:kinsoku/>
              <w:wordWrap/>
              <w:overflowPunct/>
              <w:topLinePunct w:val="0"/>
              <w:autoSpaceDE/>
              <w:autoSpaceDN/>
              <w:bidi w:val="0"/>
              <w:adjustRightInd w:val="0"/>
              <w:snapToGrid w:val="0"/>
              <w:spacing w:line="560" w:lineRule="exact"/>
              <w:ind w:firstLine="640"/>
              <w:textAlignment w:val="baseline"/>
              <w:rPr>
                <w:rFonts w:hint="eastAsia" w:ascii="仿宋" w:hAnsi="仿宋" w:eastAsia="仿宋" w:cs="仿宋"/>
                <w:sz w:val="28"/>
                <w:szCs w:val="28"/>
                <w:lang w:val="en-US" w:eastAsia="zh-CN"/>
              </w:rPr>
            </w:pPr>
            <w:r>
              <w:rPr>
                <w:rFonts w:hint="eastAsia" w:ascii="仿宋" w:hAnsi="仿宋" w:eastAsia="仿宋" w:cs="仿宋"/>
                <w:b w:val="0"/>
                <w:bCs w:val="0"/>
                <w:snapToGrid/>
                <w:color w:val="000000"/>
                <w:kern w:val="2"/>
                <w:sz w:val="28"/>
                <w:szCs w:val="28"/>
                <w:lang w:val="en-US" w:eastAsia="zh-CN" w:bidi="ar-SA"/>
              </w:rPr>
              <w:t>经核查项目相关资料，山丹县2023年度困难群众（夏季）物资采购项目采取“分次支付”的方式，合同金额1,156,819.00元，合同规定合同签订当日支付货款的50%，货到验收支付30%，物资分发到户后支付17%的尾款，剩余3%质保金6个月后付清。但是经过核查民政局支付明细，该笔货款分2次支付完成，合同签订时间为2023年8月14日，按照合同规定应于合同签订日支付货款的50%，即578,409.5元，但实际于2023年9月8日支付第一笔货款570,000.00元，剩余货款586,819.00元于2023年10月31日全额支付，山丹县民政局未严格按照合同约定的付款方式进行付款，未扣留质保金。</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471" w:hRule="atLeast"/>
          <w:jc w:val="center"/>
        </w:trPr>
        <w:tc>
          <w:tcPr>
            <w:tcW w:w="10088" w:type="dxa"/>
            <w:tcBorders>
              <w:tl2br w:val="nil"/>
              <w:tr2bl w:val="nil"/>
            </w:tcBorders>
            <w:noWrap w:val="0"/>
            <w:vAlign w:val="center"/>
          </w:tcPr>
          <w:p>
            <w:pPr>
              <w:keepNext w:val="0"/>
              <w:keepLines w:val="0"/>
              <w:pageBreakBefore w:val="0"/>
              <w:wordWrap/>
              <w:overflowPunct/>
              <w:topLinePunct w:val="0"/>
              <w:bidi w:val="0"/>
              <w:spacing w:line="360" w:lineRule="auto"/>
              <w:jc w:val="both"/>
              <w:rPr>
                <w:rFonts w:hint="eastAsia" w:ascii="仿宋" w:hAnsi="仿宋" w:eastAsia="仿宋" w:cs="仿宋"/>
                <w:b/>
                <w:bCs/>
                <w:snapToGrid/>
                <w:color w:val="000000"/>
                <w:kern w:val="2"/>
                <w:sz w:val="28"/>
                <w:szCs w:val="28"/>
                <w:highlight w:val="none"/>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仿宋" w:hAnsi="仿宋" w:eastAsia="仿宋" w:cs="仿宋"/>
                <w:sz w:val="28"/>
                <w:szCs w:val="28"/>
              </w:rPr>
            </w:pPr>
            <w:r>
              <w:rPr>
                <w:rFonts w:hint="eastAsia" w:ascii="仿宋" w:hAnsi="仿宋" w:eastAsia="仿宋" w:cs="仿宋"/>
                <w:b/>
                <w:bCs/>
                <w:snapToGrid/>
                <w:color w:val="000000"/>
                <w:kern w:val="2"/>
                <w:sz w:val="28"/>
                <w:szCs w:val="28"/>
                <w:highlight w:val="none"/>
                <w:lang w:val="en-US" w:eastAsia="en-US" w:bidi="ar-SA"/>
              </w:rPr>
              <w:t>六、有关对策建议</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0" w:hRule="atLeast"/>
          <w:jc w:val="center"/>
        </w:trPr>
        <w:tc>
          <w:tcPr>
            <w:tcW w:w="10088" w:type="dxa"/>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（一）规范绩效管理过程，准确设置绩效目标及指标</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建议山丹县民政局按照《中共甘肃省委 甘肃省人民政府关于实施预算绩效管理的实施意见》（甘发〔2018〕32号）《甘肃省财政厅印发〈甘肃省省级预算绩效管理办法〉》（甘财绩〔2020〕5号）等文件要求，绩效目标是充分反映预算资金的预期产出和效果等情况的总体描述，并相应细化、量化为绩效指标。绩效指标主要包括产出指标、效益指标和满意度指标等。绩效目标的设定应当符合：①指向明确。体现党中央、国务院和省委、省政府决策部署，符合国民经济和社会发展规划、部门职能及事业发展规划等要求，并与相应的预算支出内容、范围、方向、效果等紧密相关。②细化量化。从数量、质量、时效、成本以及经济效益、社会效益、生态效益、可持续影响、满意度等方面进行细化，尽量进行定量表述。不能以量化形式表述的，可采用定性表述，但表述应可比较、可评定。③合理可行。经过调查研究和科学论证，符合客观实际，能够在一定期限内如期实现，避免目标设立过高或过低，在可实现的条件下应当确定相对较高的绩效目标。④相应匹配。与计划期内的任务数或计划数相对应与预算确定的投资额或资金量相匹配。加强预算绩效管理工作，按照“谁申请资金、谁设定目标”的原则，把绩效目标细化分解为产出、成本、效益、可持续影响和服务对象满意度等绩效指标，指标值尽量进行定量表述，不能以量化形式表述的，可采用定性表述，但表述应可比较、可评定，做到清晰、明确、细化、可衡量，以便衡量和考核项目实施效果。</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（二）建立健全内控机制</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建议山丹县民政局加强对项目资金的有效管理，建立健全政府采购内控管理办法，建立“分岗设权、分级授权”的采购岗位管理机制，建立政府采购和政府购买服务各重点事项内部审查机制，针对采购需求管理中的重点风险事项，对采购需求和采购实施计划进行审查，有效保障政府采购和政府购买服务工作开展的规范性。</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（三）完善内控建设制度建设，强化风险防控</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建议山丹县民政局建立健全政府采购内部控制制度，明确各环节职责与权限，确保采购活动有章可循；识别采购过程中潜在风险点，建立风险评估机制，制定应对措施，减低风险发生概率；建议设立独立的监督部门或岗位，对采购活动进行全程监督，确保采购过程公正、透明。</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（四）加强验收管理，强化过程监督</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建议山丹县民政局建立科学合理的验收指标体系，成立专门的验收小组，确保验收指标明确、具体、可衡量，避免主观性和随意性，以客观事实为依据进行验收，加强对履约过程的监督和管理，确保履约过程符合合同要求和规范，及时发现和纠正不合规行为。</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default"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（五）加强预算绩效管理</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建议山丹县民政局按照《中共甘肃省委 甘肃省人民政府关于实施预算绩效管理的实施意见》（甘发〔2018〕32号）和《甘肃省财政厅印发〈甘肃省省级预算绩效管理办法〉》（甘财绩〔2020〕5号）文件要求，及时开展项目绩效运行监控及项目绩效自评工作，确保工作内容真实、完整。确保监控结果符合实际，真实客观，且对偏离绩效目标、预期无效项目及时提出纠正或调整意见，加强项目和资金管理；绩效自评报告及项目绩效自评表数据准确完整，确保自评表中绩效目标指标和指标值与年初绩效目标情况一致，且绩效指标自评完成情况符合客观实际，如实反映出项目资金执行情况和效益情况，报告相关数据齐全、标准清楚，评价结论客观合理。</w:t>
            </w:r>
          </w:p>
          <w:p>
            <w:pPr>
              <w:keepNext w:val="0"/>
              <w:keepLines w:val="0"/>
              <w:pageBreakBefore w:val="0"/>
              <w:widowControl/>
              <w:kinsoku/>
              <w:wordWrap/>
              <w:overflowPunct/>
              <w:topLinePunct w:val="0"/>
              <w:autoSpaceDE/>
              <w:autoSpaceDN/>
              <w:bidi w:val="0"/>
              <w:adjustRightInd w:val="0"/>
              <w:snapToGrid w:val="0"/>
              <w:spacing w:line="560" w:lineRule="exact"/>
              <w:ind w:firstLine="562"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（六）加强合同管理与执行，完善支付审批流程</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cs="仿宋"/>
                <w:b w:val="0"/>
                <w:snapToGrid w:val="0"/>
                <w:color w:val="000000"/>
                <w:kern w:val="0"/>
                <w:sz w:val="28"/>
                <w:szCs w:val="28"/>
                <w:lang w:val="en-US" w:eastAsia="zh-CN" w:bidi="ar"/>
              </w:rPr>
            </w:pPr>
            <w:r>
              <w:rPr>
                <w:rFonts w:hint="eastAsia" w:ascii="仿宋" w:hAnsi="仿宋" w:eastAsia="仿宋" w:cs="仿宋"/>
                <w:bCs/>
                <w:color w:val="auto"/>
                <w:sz w:val="28"/>
                <w:szCs w:val="28"/>
                <w:highlight w:val="none"/>
                <w:lang w:val="en-US" w:eastAsia="zh-CN"/>
              </w:rPr>
              <w:t>建议山丹县民政局，建立健全资金支付审批机制，确保每一笔资金都经过严格的审核程序，与合同约定的付款方式相匹配，确保所有支付进度均基于合同条款中的约定。</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PrEx>
        <w:trPr>
          <w:trHeight w:val="766" w:hRule="atLeast"/>
          <w:jc w:val="center"/>
        </w:trPr>
        <w:tc>
          <w:tcPr>
            <w:tcW w:w="10088"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before="0" w:beforeLines="100" w:after="0" w:line="360" w:lineRule="auto"/>
              <w:ind w:right="0"/>
              <w:jc w:val="center"/>
              <w:textAlignment w:val="baseline"/>
              <w:rPr>
                <w:rFonts w:hint="eastAsia" w:ascii="仿宋" w:hAnsi="仿宋" w:eastAsia="仿宋" w:cs="仿宋"/>
                <w:sz w:val="28"/>
                <w:szCs w:val="28"/>
              </w:rPr>
            </w:pPr>
            <w:r>
              <w:rPr>
                <w:rFonts w:hint="eastAsia" w:ascii="仿宋" w:hAnsi="仿宋" w:eastAsia="仿宋" w:cs="仿宋"/>
                <w:b/>
                <w:bCs/>
                <w:snapToGrid/>
                <w:color w:val="000000"/>
                <w:kern w:val="2"/>
                <w:sz w:val="28"/>
                <w:szCs w:val="28"/>
                <w:highlight w:val="none"/>
                <w:lang w:val="en-US" w:eastAsia="zh-CN" w:bidi="ar-SA"/>
              </w:rPr>
              <w:t>七、其他需要说明的事项</w:t>
            </w:r>
          </w:p>
        </w:tc>
      </w:tr>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CellMar>
            <w:top w:w="0" w:type="dxa"/>
            <w:left w:w="0" w:type="dxa"/>
            <w:bottom w:w="0" w:type="dxa"/>
            <w:right w:w="0" w:type="dxa"/>
          </w:tblCellMar>
        </w:tblPrEx>
        <w:trPr>
          <w:trHeight w:val="2385" w:hRule="atLeast"/>
          <w:jc w:val="center"/>
        </w:trPr>
        <w:tc>
          <w:tcPr>
            <w:tcW w:w="10088" w:type="dxa"/>
            <w:tcBorders>
              <w:tl2br w:val="nil"/>
              <w:tr2bl w:val="nil"/>
            </w:tcBorders>
            <w:noWrap w:val="0"/>
            <w:vAlign w:val="center"/>
          </w:tcPr>
          <w:p>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560" w:firstLineChars="200"/>
              <w:jc w:val="left"/>
              <w:textAlignment w:val="baseline"/>
              <w:rPr>
                <w:rFonts w:hint="default" w:ascii="仿宋" w:hAnsi="仿宋" w:eastAsia="仿宋" w:cs="仿宋"/>
                <w:sz w:val="28"/>
                <w:szCs w:val="28"/>
                <w:lang w:val="en-US" w:eastAsia="zh-CN"/>
              </w:rPr>
            </w:pPr>
            <w:r>
              <w:rPr>
                <w:rFonts w:hint="eastAsia" w:ascii="仿宋" w:hAnsi="仿宋" w:eastAsia="仿宋" w:cs="仿宋"/>
                <w:bCs/>
                <w:snapToGrid/>
                <w:color w:val="000000"/>
                <w:kern w:val="2"/>
                <w:sz w:val="28"/>
                <w:szCs w:val="28"/>
                <w:highlight w:val="none"/>
                <w:lang w:val="en-US" w:eastAsia="zh-CN" w:bidi="ar-SA"/>
              </w:rPr>
              <w:t>本绩效评价报告是在被评价单位提供项目评价资料基础上经核实、分析完成的，被评价单位对所提供资料的合</w:t>
            </w:r>
            <w:bookmarkStart w:id="5" w:name="_GoBack"/>
            <w:bookmarkEnd w:id="5"/>
            <w:r>
              <w:rPr>
                <w:rFonts w:hint="eastAsia" w:ascii="仿宋" w:hAnsi="仿宋" w:eastAsia="仿宋" w:cs="仿宋"/>
                <w:bCs/>
                <w:snapToGrid/>
                <w:color w:val="000000"/>
                <w:kern w:val="2"/>
                <w:sz w:val="28"/>
                <w:szCs w:val="28"/>
                <w:highlight w:val="none"/>
                <w:lang w:val="en-US" w:eastAsia="zh-CN" w:bidi="ar-SA"/>
              </w:rPr>
              <w:t>法性、真实性、完整性负责。</w:t>
            </w:r>
          </w:p>
        </w:tc>
      </w:tr>
    </w:tbl>
    <w:p>
      <w:pPr>
        <w:rPr>
          <w:rFonts w:hint="eastAsia" w:ascii="仿宋" w:hAnsi="仿宋" w:eastAsia="仿宋" w:cs="仿宋"/>
          <w:sz w:val="28"/>
          <w:szCs w:val="28"/>
        </w:rPr>
      </w:pPr>
    </w:p>
    <w:sectPr>
      <w:type w:val="continuous"/>
      <w:pgSz w:w="11907" w:h="16839"/>
      <w:pgMar w:top="1440" w:right="1803" w:bottom="1440" w:left="1803" w:header="0" w:footer="974"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KaiTi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4125"/>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9428bd26-35a2-442a-9a8f-94d4f8fbc22f"/>
  </w:docVars>
  <w:rsids>
    <w:rsidRoot w:val="EB8BCB84"/>
    <w:rsid w:val="009A13B3"/>
    <w:rsid w:val="00FD6BBB"/>
    <w:rsid w:val="02693733"/>
    <w:rsid w:val="034A70C0"/>
    <w:rsid w:val="04C74740"/>
    <w:rsid w:val="05203D0E"/>
    <w:rsid w:val="060D69D3"/>
    <w:rsid w:val="06616B1A"/>
    <w:rsid w:val="0746789B"/>
    <w:rsid w:val="07481B68"/>
    <w:rsid w:val="079254DA"/>
    <w:rsid w:val="0850306F"/>
    <w:rsid w:val="093F51ED"/>
    <w:rsid w:val="09AF04FC"/>
    <w:rsid w:val="0A195A3E"/>
    <w:rsid w:val="0B2D4DE7"/>
    <w:rsid w:val="0BAC0CC5"/>
    <w:rsid w:val="0BD73F6E"/>
    <w:rsid w:val="0CA13001"/>
    <w:rsid w:val="0D155ADA"/>
    <w:rsid w:val="0D1C7D1F"/>
    <w:rsid w:val="0D2F5B49"/>
    <w:rsid w:val="0D786F20"/>
    <w:rsid w:val="0E094EF4"/>
    <w:rsid w:val="0E121122"/>
    <w:rsid w:val="0E855450"/>
    <w:rsid w:val="0E9D6C3E"/>
    <w:rsid w:val="0EDE003B"/>
    <w:rsid w:val="118222EB"/>
    <w:rsid w:val="11DF756D"/>
    <w:rsid w:val="128679E9"/>
    <w:rsid w:val="12E846F1"/>
    <w:rsid w:val="13533D6F"/>
    <w:rsid w:val="13E56991"/>
    <w:rsid w:val="155142DE"/>
    <w:rsid w:val="15681628"/>
    <w:rsid w:val="15D849FF"/>
    <w:rsid w:val="16247C45"/>
    <w:rsid w:val="16FA09A5"/>
    <w:rsid w:val="17147CB9"/>
    <w:rsid w:val="174321D6"/>
    <w:rsid w:val="17793FC0"/>
    <w:rsid w:val="17E01949"/>
    <w:rsid w:val="17F07902"/>
    <w:rsid w:val="18227991"/>
    <w:rsid w:val="18860BB9"/>
    <w:rsid w:val="19E27BFB"/>
    <w:rsid w:val="1A1D6E85"/>
    <w:rsid w:val="1AE2736B"/>
    <w:rsid w:val="1CC23D13"/>
    <w:rsid w:val="1D8F0099"/>
    <w:rsid w:val="1DBF039E"/>
    <w:rsid w:val="1DC47C25"/>
    <w:rsid w:val="1EC2624D"/>
    <w:rsid w:val="1F01510E"/>
    <w:rsid w:val="1FBC0EEE"/>
    <w:rsid w:val="20166850"/>
    <w:rsid w:val="201E5705"/>
    <w:rsid w:val="2177331E"/>
    <w:rsid w:val="229B303C"/>
    <w:rsid w:val="233745DA"/>
    <w:rsid w:val="24973CD7"/>
    <w:rsid w:val="24A73F1B"/>
    <w:rsid w:val="25951FC5"/>
    <w:rsid w:val="25B05051"/>
    <w:rsid w:val="25C1725E"/>
    <w:rsid w:val="26804A23"/>
    <w:rsid w:val="26FD42C6"/>
    <w:rsid w:val="272A498F"/>
    <w:rsid w:val="284101E2"/>
    <w:rsid w:val="2B0A5203"/>
    <w:rsid w:val="2B193872"/>
    <w:rsid w:val="2B2636BF"/>
    <w:rsid w:val="2C5129BE"/>
    <w:rsid w:val="2C6E17C2"/>
    <w:rsid w:val="2C866B0B"/>
    <w:rsid w:val="2C8903AA"/>
    <w:rsid w:val="2C9F5E1F"/>
    <w:rsid w:val="2DA92C79"/>
    <w:rsid w:val="2DD438A6"/>
    <w:rsid w:val="2DF31F7F"/>
    <w:rsid w:val="2E921798"/>
    <w:rsid w:val="2F221841"/>
    <w:rsid w:val="2FD960EE"/>
    <w:rsid w:val="2FE51D9B"/>
    <w:rsid w:val="300A1801"/>
    <w:rsid w:val="301B2870"/>
    <w:rsid w:val="3029612C"/>
    <w:rsid w:val="30986E0D"/>
    <w:rsid w:val="31280191"/>
    <w:rsid w:val="314D01A9"/>
    <w:rsid w:val="31BE4652"/>
    <w:rsid w:val="31CC169C"/>
    <w:rsid w:val="320209E2"/>
    <w:rsid w:val="329F3D86"/>
    <w:rsid w:val="32DD4FAB"/>
    <w:rsid w:val="33690584"/>
    <w:rsid w:val="336A2CE3"/>
    <w:rsid w:val="338C73BD"/>
    <w:rsid w:val="34B2310F"/>
    <w:rsid w:val="36541A28"/>
    <w:rsid w:val="36EE7787"/>
    <w:rsid w:val="3745767C"/>
    <w:rsid w:val="37930761"/>
    <w:rsid w:val="379F4F25"/>
    <w:rsid w:val="385E6B8E"/>
    <w:rsid w:val="38D330D8"/>
    <w:rsid w:val="3A5712CC"/>
    <w:rsid w:val="3A713E7A"/>
    <w:rsid w:val="3A96260F"/>
    <w:rsid w:val="3AFB3CBE"/>
    <w:rsid w:val="3B1E43B3"/>
    <w:rsid w:val="3C0B2B89"/>
    <w:rsid w:val="3C3814A4"/>
    <w:rsid w:val="3CAA4150"/>
    <w:rsid w:val="3D70539A"/>
    <w:rsid w:val="3DF5764D"/>
    <w:rsid w:val="3E034904"/>
    <w:rsid w:val="3E554590"/>
    <w:rsid w:val="3F214472"/>
    <w:rsid w:val="3FD17C46"/>
    <w:rsid w:val="40550877"/>
    <w:rsid w:val="40CF5B82"/>
    <w:rsid w:val="41A75102"/>
    <w:rsid w:val="428941EF"/>
    <w:rsid w:val="42CE4911"/>
    <w:rsid w:val="42DA32B5"/>
    <w:rsid w:val="43193DDE"/>
    <w:rsid w:val="437A2465"/>
    <w:rsid w:val="43CA50D8"/>
    <w:rsid w:val="45EC1F86"/>
    <w:rsid w:val="468E4AE3"/>
    <w:rsid w:val="46B67B95"/>
    <w:rsid w:val="4726315C"/>
    <w:rsid w:val="473D3E13"/>
    <w:rsid w:val="477C2AAA"/>
    <w:rsid w:val="479003E6"/>
    <w:rsid w:val="49942410"/>
    <w:rsid w:val="49E32B5B"/>
    <w:rsid w:val="4A2C2648"/>
    <w:rsid w:val="4A4C4A99"/>
    <w:rsid w:val="4C40062D"/>
    <w:rsid w:val="4C8B0FC9"/>
    <w:rsid w:val="4DA370C6"/>
    <w:rsid w:val="4DFE254E"/>
    <w:rsid w:val="4E8A3DE2"/>
    <w:rsid w:val="4F6C1739"/>
    <w:rsid w:val="4FA925F4"/>
    <w:rsid w:val="4FE614EB"/>
    <w:rsid w:val="510936E3"/>
    <w:rsid w:val="51516E38"/>
    <w:rsid w:val="51D830B6"/>
    <w:rsid w:val="532F53D5"/>
    <w:rsid w:val="53397B84"/>
    <w:rsid w:val="541B79C2"/>
    <w:rsid w:val="5452714F"/>
    <w:rsid w:val="54C33BA9"/>
    <w:rsid w:val="54C94F38"/>
    <w:rsid w:val="54ED18A0"/>
    <w:rsid w:val="55DD5CAC"/>
    <w:rsid w:val="55E464CD"/>
    <w:rsid w:val="55EE2EA8"/>
    <w:rsid w:val="56552F27"/>
    <w:rsid w:val="596D67DA"/>
    <w:rsid w:val="59741916"/>
    <w:rsid w:val="5987789B"/>
    <w:rsid w:val="5A06687E"/>
    <w:rsid w:val="5ADF54B5"/>
    <w:rsid w:val="5C0056E3"/>
    <w:rsid w:val="5CBF734C"/>
    <w:rsid w:val="5D080CF3"/>
    <w:rsid w:val="5E3873B6"/>
    <w:rsid w:val="5E5B41DD"/>
    <w:rsid w:val="5FED4461"/>
    <w:rsid w:val="600F4147"/>
    <w:rsid w:val="603E67DA"/>
    <w:rsid w:val="62A212A2"/>
    <w:rsid w:val="62FA10DE"/>
    <w:rsid w:val="63275C4B"/>
    <w:rsid w:val="635B58F5"/>
    <w:rsid w:val="635E5215"/>
    <w:rsid w:val="64AE229A"/>
    <w:rsid w:val="654C6C5A"/>
    <w:rsid w:val="65724337"/>
    <w:rsid w:val="65EE0CA2"/>
    <w:rsid w:val="66D24120"/>
    <w:rsid w:val="67206C39"/>
    <w:rsid w:val="68E06888"/>
    <w:rsid w:val="69597BA3"/>
    <w:rsid w:val="69847953"/>
    <w:rsid w:val="69C521DC"/>
    <w:rsid w:val="6A0960AB"/>
    <w:rsid w:val="6A22716C"/>
    <w:rsid w:val="6A4315BC"/>
    <w:rsid w:val="6A681023"/>
    <w:rsid w:val="6AFE3735"/>
    <w:rsid w:val="6B1271E1"/>
    <w:rsid w:val="6B256F14"/>
    <w:rsid w:val="6BCE4EB6"/>
    <w:rsid w:val="6CFE7A1D"/>
    <w:rsid w:val="6D1F7E14"/>
    <w:rsid w:val="6D9B28C9"/>
    <w:rsid w:val="6E3000AA"/>
    <w:rsid w:val="6EC627BC"/>
    <w:rsid w:val="6F750978"/>
    <w:rsid w:val="6F885CC3"/>
    <w:rsid w:val="70AD6B66"/>
    <w:rsid w:val="71031AA6"/>
    <w:rsid w:val="71752277"/>
    <w:rsid w:val="7399049F"/>
    <w:rsid w:val="7445567D"/>
    <w:rsid w:val="75BE1F92"/>
    <w:rsid w:val="75C5745F"/>
    <w:rsid w:val="761B163F"/>
    <w:rsid w:val="76603947"/>
    <w:rsid w:val="7682346D"/>
    <w:rsid w:val="77752FD1"/>
    <w:rsid w:val="78964FAD"/>
    <w:rsid w:val="795135CA"/>
    <w:rsid w:val="79A731EA"/>
    <w:rsid w:val="79AC5C1E"/>
    <w:rsid w:val="7A796935"/>
    <w:rsid w:val="7AAA27D0"/>
    <w:rsid w:val="7B430ADD"/>
    <w:rsid w:val="7BA548EF"/>
    <w:rsid w:val="7D407BDD"/>
    <w:rsid w:val="7E175822"/>
    <w:rsid w:val="7EE41F32"/>
    <w:rsid w:val="7F7D049A"/>
    <w:rsid w:val="D7BF6BAA"/>
    <w:rsid w:val="EB8BCB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4"/>
    <w:next w:val="5"/>
    <w:unhideWhenUsed/>
    <w:qFormat/>
    <w:uiPriority w:val="0"/>
    <w:pPr>
      <w:keepNext/>
      <w:keepLines/>
      <w:adjustRightInd w:val="0"/>
      <w:snapToGrid w:val="0"/>
      <w:spacing w:line="560" w:lineRule="exact"/>
      <w:ind w:firstLine="960" w:firstLineChars="200"/>
      <w:jc w:val="left"/>
      <w:outlineLvl w:val="1"/>
    </w:pPr>
    <w:rPr>
      <w:rFonts w:ascii="楷体_GB2312" w:hAnsi="楷体_GB2312" w:eastAsia="楷体_GB2312" w:cs="Times New Roman"/>
    </w:rPr>
  </w:style>
  <w:style w:type="paragraph" w:styleId="4">
    <w:name w:val="heading 3"/>
    <w:basedOn w:val="1"/>
    <w:next w:val="1"/>
    <w:qFormat/>
    <w:uiPriority w:val="9"/>
    <w:pPr>
      <w:spacing w:line="560" w:lineRule="exact"/>
      <w:ind w:firstLine="640" w:firstLineChars="200"/>
      <w:outlineLvl w:val="2"/>
    </w:pPr>
    <w:rPr>
      <w:rFonts w:ascii="楷体" w:hAnsi="楷体" w:eastAsia="KaiTi_GB2312" w:cs="仿宋"/>
      <w:b/>
      <w:color w:val="000000"/>
      <w:sz w:val="32"/>
      <w:szCs w:val="32"/>
    </w:rPr>
  </w:style>
  <w:style w:type="paragraph" w:styleId="2">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rPr>
      <w:rFonts w:ascii="宋体" w:hAnsi="宋体" w:eastAsia="宋体" w:cs="宋体"/>
      <w:sz w:val="24"/>
      <w:lang w:val="zh-CN" w:bidi="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J正文"/>
    <w:basedOn w:val="1"/>
    <w:qFormat/>
    <w:uiPriority w:val="0"/>
    <w:pPr>
      <w:adjustRightInd w:val="0"/>
      <w:snapToGrid w:val="0"/>
      <w:spacing w:line="360" w:lineRule="auto"/>
      <w:ind w:firstLine="656"/>
    </w:pPr>
    <w:rPr>
      <w:rFonts w:cs="仿宋_GB2312"/>
      <w:snapToGrid w:val="0"/>
      <w:spacing w:val="4"/>
      <w:szCs w:val="32"/>
    </w:rPr>
  </w:style>
  <w:style w:type="paragraph" w:customStyle="1" w:styleId="12">
    <w:name w:val="Table Paragraph"/>
    <w:basedOn w:val="1"/>
    <w:qFormat/>
    <w:uiPriority w:val="1"/>
    <w:rPr>
      <w:rFonts w:ascii="仿宋" w:hAnsi="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4583</Words>
  <Characters>4856</Characters>
  <Lines>0</Lines>
  <Paragraphs>0</Paragraphs>
  <TotalTime>1</TotalTime>
  <ScaleCrop>false</ScaleCrop>
  <LinksUpToDate>false</LinksUpToDate>
  <CharactersWithSpaces>4868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2024-08-27T23:00:00Z</dcterms:created>
  <dc:creator>清风明月</dc:creator>
  <cp:lastModifiedBy>uos</cp:lastModifiedBy>
  <dcterms:modified xsi:type="dcterms:W3CDTF">2024-12-24T16:19:45Z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844B9A512E344CBBAD81980CDA2C4013</vt:lpwstr>
  </property>
</Properties>
</file>