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sz w:val="40"/>
          <w:szCs w:val="40"/>
          <w:lang w:eastAsia="zh-CN"/>
        </w:rPr>
      </w:pPr>
      <w:r>
        <w:rPr>
          <w:rFonts w:hint="eastAsia" w:ascii="方正小标宋简体" w:eastAsia="方正小标宋简体"/>
          <w:sz w:val="40"/>
          <w:szCs w:val="40"/>
          <w:lang w:eastAsia="zh-CN"/>
        </w:rPr>
        <w:t>山丹县发展和改革局</w:t>
      </w:r>
    </w:p>
    <w:p>
      <w:pPr>
        <w:jc w:val="center"/>
        <w:rPr>
          <w:rFonts w:ascii="方正小标宋简体" w:eastAsia="方正小标宋简体"/>
          <w:sz w:val="40"/>
          <w:szCs w:val="40"/>
        </w:rPr>
      </w:pPr>
      <w:r>
        <w:rPr>
          <w:rFonts w:hint="eastAsia" w:ascii="方正小标宋简体" w:eastAsia="方正小标宋简体"/>
          <w:sz w:val="40"/>
          <w:szCs w:val="40"/>
        </w:rPr>
        <w:t>部门整体支出绩效自评报告</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一、部门概况</w:t>
      </w:r>
    </w:p>
    <w:p>
      <w:pPr>
        <w:spacing w:line="560" w:lineRule="exact"/>
        <w:ind w:firstLine="643" w:firstLineChars="200"/>
        <w:rPr>
          <w:rFonts w:ascii="楷体_GB2312" w:hAnsi="黑体" w:eastAsia="楷体_GB2312"/>
          <w:b/>
          <w:sz w:val="32"/>
          <w:szCs w:val="32"/>
        </w:rPr>
      </w:pPr>
      <w:r>
        <w:rPr>
          <w:rFonts w:hint="eastAsia" w:ascii="楷体_GB2312" w:hAnsi="黑体" w:eastAsia="楷体_GB2312"/>
          <w:b/>
          <w:sz w:val="32"/>
          <w:szCs w:val="32"/>
        </w:rPr>
        <w:t>（一）基本情况</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1.单位基本情况</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山丹县发展和改革局（以下简称县发改局）系县政府工作部门，正科级建制，加挂县粮食和物资储备局牌子。县发改局根据单位职能设置执行落实中央、省、市、县的方针政策，负责全县县域经济运行情况调度，全县发展规划。</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2.</w:t>
      </w:r>
      <w:r>
        <w:rPr>
          <w:rFonts w:hint="eastAsia" w:ascii="仿宋_GB2312" w:eastAsia="仿宋_GB2312"/>
          <w:sz w:val="32"/>
          <w:szCs w:val="32"/>
          <w:lang w:eastAsia="zh-CN"/>
        </w:rPr>
        <w:t>单位职能职责</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1</w:t>
      </w:r>
      <w:r>
        <w:rPr>
          <w:rFonts w:hint="eastAsia" w:ascii="仿宋_GB2312" w:eastAsia="仿宋_GB2312"/>
          <w:sz w:val="32"/>
          <w:szCs w:val="32"/>
          <w:lang w:eastAsia="zh-CN"/>
        </w:rPr>
        <w:t>）拟订并组织实施全县国民经济和社会发展战略、中长期规划和年度计划。牵头组织县级统一规划体系建设。负责县级专项规划、区域规划、空间规划与县级发展规划的统筹衔接。起草国民经济和社会发展计划报告。</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2</w:t>
      </w:r>
      <w:r>
        <w:rPr>
          <w:rFonts w:hint="eastAsia" w:ascii="仿宋_GB2312" w:eastAsia="仿宋_GB2312"/>
          <w:sz w:val="32"/>
          <w:szCs w:val="32"/>
          <w:lang w:eastAsia="zh-CN"/>
        </w:rPr>
        <w:t>）提出加快建设现代化经济体系、推动高质量发展的总体目标、重大任务以及相关政策。组织开展重大规划、重大政策、重大工程等评估督导，提出相关调整建议。</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3</w:t>
      </w:r>
      <w:r>
        <w:rPr>
          <w:rFonts w:hint="eastAsia" w:ascii="仿宋_GB2312" w:eastAsia="仿宋_GB2312"/>
          <w:sz w:val="32"/>
          <w:szCs w:val="32"/>
          <w:lang w:eastAsia="zh-CN"/>
        </w:rPr>
        <w:t>）统筹提出国民经济和社会发展主要目标，监测预测预警宏观经济和社会发展态势趋势，提出宏观调控政策建议。综合协调宏观经济政策，牵头研究宏观经济应对措施。调节经济运行，协调解决经济运行中的重大问题。拟订并组织实施有关价格政策，组织制定由县级管理的重要商品、服务价格和重要收费标准。组织开展全县价格成本调查和监审、市场价格监测、涉案财物价格认定；指导全县价格和收费管理工作。</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4</w:t>
      </w:r>
      <w:r>
        <w:rPr>
          <w:rFonts w:hint="eastAsia" w:ascii="仿宋_GB2312" w:eastAsia="仿宋_GB2312"/>
          <w:sz w:val="32"/>
          <w:szCs w:val="32"/>
          <w:lang w:eastAsia="zh-CN"/>
        </w:rPr>
        <w:t>）指导推进和综合协调经济体制改革有关工作，提出相关改革建议。牵头推进供给侧结构性改革。协调推进产权制度和要素市场化配置改革。推动完善基本经济制度和现代市场体系建设，会同相关部门组织实施市场准入负面清单制度。牵头推进营商环境评价工作。</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5</w:t>
      </w:r>
      <w:r>
        <w:rPr>
          <w:rFonts w:hint="eastAsia" w:ascii="仿宋_GB2312" w:eastAsia="仿宋_GB2312"/>
          <w:sz w:val="32"/>
          <w:szCs w:val="32"/>
          <w:lang w:eastAsia="zh-CN"/>
        </w:rPr>
        <w:t>）牵头推进实施“一带一路”建设。承担统筹协调走出去有关工作。会同有关部门组织实施外商投资准入负面清单。负责全口径外债的总量调控、结构优化和监测工作。</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6</w:t>
      </w:r>
      <w:r>
        <w:rPr>
          <w:rFonts w:hint="eastAsia" w:ascii="仿宋_GB2312" w:eastAsia="仿宋_GB2312"/>
          <w:sz w:val="32"/>
          <w:szCs w:val="32"/>
          <w:lang w:eastAsia="zh-CN"/>
        </w:rPr>
        <w:t>）负责投资综合管理，拟订全社会固定资产投资总规模、结构调控目标和政策，会同相关部门拟订政府投资项目审批权限建议。安排县级预算内建设资金。按规定权限审批、核准、备案、审核重大项目。规划重大建设项目和生产力布局。拟订并推动落实鼓励民间投资政策措施。</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7</w:t>
      </w:r>
      <w:r>
        <w:rPr>
          <w:rFonts w:hint="eastAsia" w:ascii="仿宋_GB2312" w:eastAsia="仿宋_GB2312"/>
          <w:sz w:val="32"/>
          <w:szCs w:val="32"/>
          <w:lang w:eastAsia="zh-CN"/>
        </w:rPr>
        <w:t>）组织拟订并推进落实区域协调发展战略，新型城镇化规划和重大政策，组织拟订相关区域规划和政策。统筹协调推进实施国家重大区域发展战略。组织实施易地扶贫搬迁等。统筹协调区域合作和对口支援工作。组织编制并推动实施新型城镇化规划。统筹规划、指导全县开发区建设与发展工作。</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8</w:t>
      </w:r>
      <w:r>
        <w:rPr>
          <w:rFonts w:hint="eastAsia" w:ascii="仿宋_GB2312" w:eastAsia="仿宋_GB2312"/>
          <w:sz w:val="32"/>
          <w:szCs w:val="32"/>
          <w:lang w:eastAsia="zh-CN"/>
        </w:rPr>
        <w:t>）组织实施综合性产业政策。协调一二三产业发展重大问题并统筹衔接相关发展规划和重大政策。协调推进重大基础设施建设发展，组织拟订并推动实施全县服务业及现代物流业发展规划和重大政策。综合研判消费变动趋势，拟订实施促进消费的综合性政策措施。</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9</w:t>
      </w:r>
      <w:r>
        <w:rPr>
          <w:rFonts w:hint="eastAsia" w:ascii="仿宋_GB2312" w:eastAsia="仿宋_GB2312"/>
          <w:sz w:val="32"/>
          <w:szCs w:val="32"/>
          <w:lang w:eastAsia="zh-CN"/>
        </w:rPr>
        <w:t>）推动实施创新驱动发展战略。会同相关部门拟订推进创新创业的规划和政策，提出创新发展和培育经济发展新动能的政策。组织拟订并推动实施高技术产业和战略性新兴产业发展规划政策，协调产业升级，重大技术装备推广应用等方面的重大问题。</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10</w:t>
      </w:r>
      <w:r>
        <w:rPr>
          <w:rFonts w:hint="eastAsia" w:ascii="仿宋_GB2312" w:eastAsia="仿宋_GB2312"/>
          <w:sz w:val="32"/>
          <w:szCs w:val="32"/>
          <w:lang w:eastAsia="zh-CN"/>
        </w:rPr>
        <w:t>）跟踪研判涉及经济安全领域各类风险隐患，提出相关工作建议。牵头负责全县国家经济安全领域工作协调机制。研究分析市场供求状况，做好重要商品供求的总量平衡，组织制定重要农产品、生产资料批发市场发展规划、调控政策；组织实施国家储备物资品种目录、总体发展规划。</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11</w:t>
      </w:r>
      <w:r>
        <w:rPr>
          <w:rFonts w:hint="eastAsia" w:ascii="仿宋_GB2312" w:eastAsia="仿宋_GB2312"/>
          <w:sz w:val="32"/>
          <w:szCs w:val="32"/>
          <w:lang w:eastAsia="zh-CN"/>
        </w:rPr>
        <w:t>）负责社会发展与国民经济发展的政策衔接，协调有关重大问题。组织拟订社会发展政策、总体规划，统筹推进基本公共服务体系建设和收入分配制度改革，提出促进就业，完善社会保障与经济协调发展的政策建议。牵头开展社会信用体系建设。</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12</w:t>
      </w:r>
      <w:r>
        <w:rPr>
          <w:rFonts w:hint="eastAsia" w:ascii="仿宋_GB2312" w:eastAsia="仿宋_GB2312"/>
          <w:sz w:val="32"/>
          <w:szCs w:val="32"/>
          <w:lang w:eastAsia="zh-CN"/>
        </w:rPr>
        <w:t>）推进实施可持续发展战略，推动生态文明建设和改革，协调生态环境保护与修复、发展循环经济、能源资源节约和综合利用等工作。推进落实生态保护补偿机制的政策措施，综合协调环保产业和清洁生产促进有关工作。提出能源消费控制目标、任务并组织实施。</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13</w:t>
      </w:r>
      <w:r>
        <w:rPr>
          <w:rFonts w:hint="eastAsia" w:ascii="仿宋_GB2312" w:eastAsia="仿宋_GB2312"/>
          <w:sz w:val="32"/>
          <w:szCs w:val="32"/>
          <w:lang w:eastAsia="zh-CN"/>
        </w:rPr>
        <w:t>）协调全县国民经济动员与国防建设的关系及有关问题，组织编制国民经济动员规划。</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14</w:t>
      </w:r>
      <w:r>
        <w:rPr>
          <w:rFonts w:hint="eastAsia" w:ascii="仿宋_GB2312" w:eastAsia="仿宋_GB2312"/>
          <w:sz w:val="32"/>
          <w:szCs w:val="32"/>
          <w:lang w:eastAsia="zh-CN"/>
        </w:rPr>
        <w:t>）拟订并组织实施能源发展规划和政策，推进能源体制改革，实施对煤炭、石油、天然气、电力、新能源及可再生能源、核电等能源行业管理，协调能源发展和改革中的重大问题。主管油气管道保护工作。指导协调农村能源发展、能源科技进步和能源装备相关工作。衔接能源生产建设和供需平衡。</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15</w:t>
      </w:r>
      <w:r>
        <w:rPr>
          <w:rFonts w:hint="eastAsia" w:ascii="仿宋_GB2312" w:eastAsia="仿宋_GB2312"/>
          <w:sz w:val="32"/>
          <w:szCs w:val="32"/>
          <w:lang w:eastAsia="zh-CN"/>
        </w:rPr>
        <w:t>）拟订全县粮食流通和物资储备管理的规章制度和规范性文件。承担全县粮食流通和物资储备体制改革工作。负责粮食、食糖、肉菜等重要消费品及应急储备物资的收储、轮换和日常管理，落实有关动用计划和指令。监测县内粮油供求变化并预测预警。承担全县粮食流通宏观调控的具体工作。负责政策性粮食购销及应急保障供应。负责全县粮食和物资仓储管理，监督管理粮食流通、物资储备、安全生产。负责粮食和物资储备信息化建设工作。拟订全县粮食流通和物资储备建设布局规划，负责储备基础设施建设和管理。负责对管理的地方储备、企业储备以及储备政策落实情况进行监督检查。组织实施全县粮食库存检查工作。负责粮食流通行业管理，拟订行业发展规划、政策。贯彻执行国家粮食流通和物资储备有关标准、粮食质量标准。拟订有关技术规范并监督执行。</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16</w:t>
      </w:r>
      <w:r>
        <w:rPr>
          <w:rFonts w:hint="eastAsia" w:ascii="仿宋_GB2312" w:eastAsia="仿宋_GB2312"/>
          <w:sz w:val="32"/>
          <w:szCs w:val="32"/>
          <w:lang w:eastAsia="zh-CN"/>
        </w:rPr>
        <w:t>）拟订全县招商引资的政策和规章制度，承担全县招商引资工作。</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17</w:t>
      </w:r>
      <w:r>
        <w:rPr>
          <w:rFonts w:hint="eastAsia" w:ascii="仿宋_GB2312" w:eastAsia="仿宋_GB2312"/>
          <w:sz w:val="32"/>
          <w:szCs w:val="32"/>
          <w:lang w:eastAsia="zh-CN"/>
        </w:rPr>
        <w:t>）承办县委、县政府以及市发展改革委、市粮食和物资储备局、市招商局交办的其他工作。</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（二）年度重点工作</w:t>
      </w:r>
    </w:p>
    <w:p>
      <w:pPr>
        <w:spacing w:line="560" w:lineRule="exact"/>
        <w:ind w:firstLine="640" w:firstLineChars="200"/>
        <w:rPr>
          <w:rFonts w:hint="eastAsia" w:ascii="仿宋_GB2312" w:eastAsia="仿宋_GB2312"/>
          <w:sz w:val="32"/>
          <w:szCs w:val="32"/>
          <w:lang w:val="en-US" w:eastAsia="zh-CN"/>
        </w:rPr>
      </w:pPr>
      <w:r>
        <w:rPr>
          <w:rFonts w:hint="default" w:ascii="仿宋_GB2312" w:eastAsia="仿宋_GB2312"/>
          <w:sz w:val="32"/>
          <w:szCs w:val="32"/>
          <w:lang w:val="en-US" w:eastAsia="zh-CN"/>
        </w:rPr>
        <w:t>严格落实“一年一清单”“一季一调度”和“一指标一方案”机制，制定</w:t>
      </w:r>
      <w:r>
        <w:rPr>
          <w:rFonts w:hint="default" w:ascii="仿宋_GB2312" w:eastAsia="仿宋_GB2312"/>
          <w:sz w:val="32"/>
          <w:szCs w:val="32"/>
          <w:lang w:eastAsia="zh-CN"/>
        </w:rPr>
        <w:t>印发《</w:t>
      </w:r>
      <w:r>
        <w:rPr>
          <w:rFonts w:hint="default" w:ascii="仿宋_GB2312" w:eastAsia="仿宋_GB2312"/>
          <w:sz w:val="32"/>
          <w:szCs w:val="32"/>
          <w:lang w:val="en-US" w:eastAsia="zh-CN"/>
        </w:rPr>
        <w:t>2023年</w:t>
      </w:r>
      <w:r>
        <w:rPr>
          <w:rFonts w:hint="default" w:ascii="仿宋_GB2312" w:eastAsia="仿宋_GB2312"/>
          <w:sz w:val="32"/>
          <w:szCs w:val="32"/>
          <w:lang w:eastAsia="zh-CN"/>
        </w:rPr>
        <w:t>县域经济发展综合评价“一指标一方案”》《山丹县强县域行动实施方案（2022—2025年）2023年度重点任务清单》</w:t>
      </w:r>
      <w:r>
        <w:rPr>
          <w:rFonts w:hint="default" w:ascii="仿宋_GB2312" w:eastAsia="仿宋_GB2312"/>
          <w:sz w:val="32"/>
          <w:szCs w:val="32"/>
          <w:lang w:val="en-US" w:eastAsia="zh-CN"/>
        </w:rPr>
        <w:t>，</w:t>
      </w:r>
      <w:r>
        <w:rPr>
          <w:rFonts w:hint="default" w:ascii="仿宋_GB2312" w:eastAsia="仿宋_GB2312"/>
          <w:sz w:val="32"/>
          <w:szCs w:val="32"/>
          <w:lang w:eastAsia="zh-CN"/>
        </w:rPr>
        <w:t>围绕县域经济发展评价涉及的23项正向指标及5项逆向指标，</w:t>
      </w:r>
      <w:r>
        <w:rPr>
          <w:rFonts w:hint="default" w:ascii="仿宋_GB2312" w:eastAsia="仿宋_GB2312"/>
          <w:sz w:val="32"/>
          <w:szCs w:val="32"/>
          <w:lang w:val="en-US" w:eastAsia="zh-CN"/>
        </w:rPr>
        <w:t>紧盯目标节点，把握重点环节，狠抓工作落实，奋力实现全年经济发展目标。</w:t>
      </w:r>
      <w:r>
        <w:rPr>
          <w:rFonts w:hint="eastAsia" w:ascii="仿宋_GB2312" w:eastAsia="仿宋_GB2312"/>
          <w:sz w:val="32"/>
          <w:szCs w:val="32"/>
          <w:lang w:val="en-US" w:eastAsia="zh-CN"/>
        </w:rPr>
        <w:t>大力</w:t>
      </w:r>
      <w:r>
        <w:rPr>
          <w:rFonts w:hint="default" w:ascii="仿宋_GB2312" w:eastAsia="仿宋_GB2312"/>
          <w:sz w:val="32"/>
          <w:szCs w:val="32"/>
          <w:lang w:val="en-US" w:eastAsia="zh-CN"/>
        </w:rPr>
        <w:t>开展“冬日无闲·大抓项目”活动，</w:t>
      </w:r>
      <w:r>
        <w:rPr>
          <w:rFonts w:hint="default" w:ascii="仿宋_GB2312" w:eastAsia="仿宋_GB2312"/>
          <w:sz w:val="32"/>
          <w:szCs w:val="32"/>
          <w:lang w:eastAsia="zh-CN"/>
        </w:rPr>
        <w:t>制发《山丹县贯彻落实“三抓三促”行动推动项目落地“大提速”行动实施方案》，参与全省重大项目集中开工活动，</w:t>
      </w:r>
      <w:r>
        <w:rPr>
          <w:rFonts w:hint="default" w:ascii="仿宋_GB2312" w:eastAsia="仿宋_GB2312"/>
          <w:sz w:val="32"/>
          <w:szCs w:val="32"/>
          <w:lang w:val="en-US" w:eastAsia="zh-CN"/>
        </w:rPr>
        <w:t>落实县级领导联系包抓项目制度、“三个清单”责任制，以攻坚之势、非常之举抓项目扩投资。</w:t>
      </w:r>
      <w:r>
        <w:rPr>
          <w:rFonts w:hint="default" w:ascii="仿宋_GB2312" w:eastAsia="仿宋_GB2312"/>
          <w:sz w:val="32"/>
          <w:szCs w:val="32"/>
          <w:lang w:eastAsia="zh-CN"/>
        </w:rPr>
        <w:t>全县投资项目由年初131个滚动增加至156个，总投资488.5亿元，年度计划投资120.56亿元。</w:t>
      </w:r>
      <w:r>
        <w:rPr>
          <w:rFonts w:hint="default" w:ascii="仿宋_GB2312" w:eastAsia="仿宋_GB2312"/>
          <w:sz w:val="32"/>
          <w:szCs w:val="32"/>
          <w:lang w:val="en-US" w:eastAsia="zh-CN"/>
        </w:rPr>
        <w:t>聚焦交通、水利、城市更新、乡村振兴等领域，支持民间资本参与102项重大工程建设。</w:t>
      </w:r>
      <w:r>
        <w:rPr>
          <w:rFonts w:hint="default" w:ascii="仿宋_GB2312" w:eastAsia="仿宋_GB2312"/>
          <w:sz w:val="32"/>
          <w:szCs w:val="32"/>
          <w:lang w:val="en" w:eastAsia="zh-CN"/>
        </w:rPr>
        <w:t>预计</w:t>
      </w:r>
      <w:r>
        <w:rPr>
          <w:rFonts w:hint="default" w:ascii="仿宋_GB2312" w:eastAsia="仿宋_GB2312"/>
          <w:sz w:val="32"/>
          <w:szCs w:val="32"/>
          <w:lang w:val="en-US" w:eastAsia="zh-CN"/>
        </w:rPr>
        <w:t>全年</w:t>
      </w:r>
      <w:r>
        <w:rPr>
          <w:rFonts w:hint="default" w:ascii="仿宋_GB2312" w:eastAsia="仿宋_GB2312"/>
          <w:sz w:val="32"/>
          <w:szCs w:val="32"/>
          <w:lang w:eastAsia="zh-CN"/>
        </w:rPr>
        <w:t>完成固定资产</w:t>
      </w:r>
      <w:r>
        <w:rPr>
          <w:rFonts w:hint="default" w:ascii="仿宋_GB2312" w:eastAsia="仿宋_GB2312"/>
          <w:sz w:val="32"/>
          <w:szCs w:val="32"/>
          <w:lang w:val="en-US" w:eastAsia="zh-CN"/>
        </w:rPr>
        <w:t>45.4</w:t>
      </w:r>
      <w:r>
        <w:rPr>
          <w:rFonts w:hint="default" w:ascii="仿宋_GB2312" w:eastAsia="仿宋_GB2312"/>
          <w:sz w:val="32"/>
          <w:szCs w:val="32"/>
          <w:lang w:eastAsia="zh-CN"/>
        </w:rPr>
        <w:t>亿元，增长</w:t>
      </w:r>
      <w:r>
        <w:rPr>
          <w:rFonts w:hint="default" w:ascii="仿宋_GB2312" w:eastAsia="仿宋_GB2312"/>
          <w:sz w:val="32"/>
          <w:szCs w:val="32"/>
          <w:lang w:val="en-US" w:eastAsia="zh-CN"/>
        </w:rPr>
        <w:t>17</w:t>
      </w:r>
      <w:r>
        <w:rPr>
          <w:rFonts w:hint="default" w:ascii="仿宋_GB2312" w:eastAsia="仿宋_GB2312"/>
          <w:sz w:val="32"/>
          <w:szCs w:val="32"/>
          <w:lang w:eastAsia="zh-CN"/>
        </w:rPr>
        <w:t>%</w:t>
      </w:r>
      <w:r>
        <w:rPr>
          <w:rFonts w:hint="eastAsia" w:ascii="仿宋_GB2312" w:eastAsia="仿宋_GB2312"/>
          <w:sz w:val="32"/>
          <w:szCs w:val="32"/>
          <w:lang w:eastAsia="zh-CN"/>
        </w:rPr>
        <w:t>左右</w:t>
      </w:r>
      <w:r>
        <w:rPr>
          <w:rFonts w:hint="default" w:ascii="仿宋_GB2312" w:eastAsia="仿宋_GB2312"/>
          <w:sz w:val="32"/>
          <w:szCs w:val="32"/>
          <w:lang w:eastAsia="zh-CN"/>
        </w:rPr>
        <w:t>。围绕国家政策导向和投资方向，深化项目可行性研究等前期论证，全年累计争取下达中央预算内和省级资金项目12个、1.19亿元，特别国债项目</w:t>
      </w:r>
      <w:r>
        <w:rPr>
          <w:rFonts w:hint="eastAsia" w:ascii="仿宋_GB2312" w:eastAsia="仿宋_GB2312"/>
          <w:sz w:val="32"/>
          <w:szCs w:val="32"/>
          <w:lang w:val="en-US" w:eastAsia="zh-CN"/>
        </w:rPr>
        <w:t>5</w:t>
      </w:r>
      <w:r>
        <w:rPr>
          <w:rFonts w:hint="default" w:ascii="仿宋_GB2312" w:eastAsia="仿宋_GB2312"/>
          <w:sz w:val="32"/>
          <w:szCs w:val="32"/>
          <w:lang w:eastAsia="zh-CN"/>
        </w:rPr>
        <w:t>个、</w:t>
      </w:r>
      <w:r>
        <w:rPr>
          <w:rFonts w:hint="eastAsia" w:ascii="仿宋_GB2312" w:eastAsia="仿宋_GB2312"/>
          <w:sz w:val="32"/>
          <w:szCs w:val="32"/>
          <w:lang w:val="en-US" w:eastAsia="zh-CN"/>
        </w:rPr>
        <w:t>2.97</w:t>
      </w:r>
      <w:r>
        <w:rPr>
          <w:rFonts w:hint="default" w:ascii="仿宋_GB2312" w:eastAsia="仿宋_GB2312"/>
          <w:sz w:val="32"/>
          <w:szCs w:val="32"/>
          <w:lang w:eastAsia="zh-CN"/>
        </w:rPr>
        <w:t>亿元，进入地方政府专项债券国家反馈清单项目21个，下达资金及额度2.32亿元，全力保障了重点项目建设资金需求。</w:t>
      </w:r>
      <w:r>
        <w:rPr>
          <w:rFonts w:hint="default" w:ascii="仿宋_GB2312" w:eastAsia="仿宋_GB2312"/>
          <w:sz w:val="32"/>
          <w:szCs w:val="32"/>
          <w:lang w:val="en-US" w:eastAsia="zh-CN"/>
        </w:rPr>
        <w:t>抢抓国家和省市促进民营经济发展壮大、实施“八改”工程等政策利好，挖掘政策“含金量”，做足工作“提前量”，初步谋划储备2024年实施的重点项目</w:t>
      </w:r>
      <w:r>
        <w:rPr>
          <w:rFonts w:hint="eastAsia" w:ascii="仿宋_GB2312" w:eastAsia="仿宋_GB2312"/>
          <w:sz w:val="32"/>
          <w:szCs w:val="32"/>
          <w:lang w:val="en-US" w:eastAsia="zh-CN"/>
        </w:rPr>
        <w:t>111</w:t>
      </w:r>
      <w:r>
        <w:rPr>
          <w:rFonts w:hint="default" w:ascii="仿宋_GB2312" w:eastAsia="仿宋_GB2312"/>
          <w:sz w:val="32"/>
          <w:szCs w:val="32"/>
          <w:lang w:val="en-US" w:eastAsia="zh-CN"/>
        </w:rPr>
        <w:t>个，</w:t>
      </w:r>
      <w:r>
        <w:rPr>
          <w:rFonts w:hint="eastAsia" w:ascii="仿宋_GB2312" w:eastAsia="仿宋_GB2312"/>
          <w:sz w:val="32"/>
          <w:szCs w:val="32"/>
          <w:lang w:val="en-US" w:eastAsia="zh-CN"/>
        </w:rPr>
        <w:t>总投资366.45亿元，年度计划投资71.76亿元。</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（三）整体收支情况</w:t>
      </w:r>
    </w:p>
    <w:p>
      <w:pPr>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eastAsia="zh-CN"/>
        </w:rPr>
        <w:t>1.收入决算情况：县发改局</w:t>
      </w:r>
      <w:r>
        <w:rPr>
          <w:rFonts w:hint="eastAsia" w:ascii="仿宋_GB2312" w:eastAsia="仿宋_GB2312"/>
          <w:sz w:val="32"/>
          <w:szCs w:val="32"/>
          <w:lang w:val="en-US" w:eastAsia="zh-CN"/>
        </w:rPr>
        <w:t>2023年决算总收入22460032.11元，其中一般公共预算财政拨款收入22460032.11元。</w:t>
      </w:r>
    </w:p>
    <w:p>
      <w:pPr>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eastAsia="zh-CN"/>
        </w:rPr>
        <w:t>2.支出决算情况：</w:t>
      </w:r>
      <w:r>
        <w:rPr>
          <w:rFonts w:hint="eastAsia" w:ascii="仿宋_GB2312" w:eastAsia="仿宋_GB2312"/>
          <w:sz w:val="32"/>
          <w:szCs w:val="32"/>
          <w:lang w:val="en-US" w:eastAsia="zh-CN"/>
        </w:rPr>
        <w:t>2023年度决算总支出22460032.11元，其中财政拨款支出22460032.11元。</w:t>
      </w:r>
    </w:p>
    <w:p>
      <w:pPr>
        <w:spacing w:line="560" w:lineRule="exact"/>
        <w:ind w:firstLine="640" w:firstLineChars="200"/>
        <w:rPr>
          <w:rFonts w:hint="eastAsia" w:ascii="仿宋_GB2312" w:eastAsia="仿宋_GB2312"/>
          <w:sz w:val="32"/>
          <w:szCs w:val="32"/>
          <w:lang w:eastAsia="zh-CN"/>
        </w:rPr>
      </w:pPr>
      <w:r>
        <w:rPr>
          <w:rFonts w:hint="eastAsia" w:ascii="黑体" w:hAnsi="黑体" w:eastAsia="黑体" w:cs="黑体"/>
          <w:sz w:val="32"/>
          <w:szCs w:val="32"/>
          <w:lang w:eastAsia="zh-CN"/>
        </w:rPr>
        <w:t>二、整体支出管理及使用情况</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（一）基本支出：</w:t>
      </w:r>
      <w:r>
        <w:rPr>
          <w:rFonts w:hint="eastAsia" w:ascii="仿宋_GB2312" w:eastAsia="仿宋_GB2312"/>
          <w:sz w:val="32"/>
          <w:szCs w:val="32"/>
          <w:lang w:val="en-US" w:eastAsia="zh-CN"/>
        </w:rPr>
        <w:t>2023年度</w:t>
      </w:r>
      <w:r>
        <w:rPr>
          <w:rFonts w:hint="eastAsia" w:ascii="仿宋_GB2312" w:eastAsia="仿宋_GB2312"/>
          <w:sz w:val="32"/>
          <w:szCs w:val="32"/>
          <w:lang w:eastAsia="zh-CN"/>
        </w:rPr>
        <w:t>基本支出</w:t>
      </w:r>
      <w:r>
        <w:rPr>
          <w:rFonts w:hint="eastAsia" w:ascii="仿宋_GB2312" w:eastAsia="仿宋_GB2312"/>
          <w:sz w:val="32"/>
          <w:szCs w:val="32"/>
          <w:lang w:val="en-US" w:eastAsia="zh-CN"/>
        </w:rPr>
        <w:t>6019877.79</w:t>
      </w:r>
      <w:r>
        <w:rPr>
          <w:rFonts w:hint="eastAsia" w:ascii="仿宋_GB2312" w:eastAsia="仿宋_GB2312"/>
          <w:sz w:val="32"/>
          <w:szCs w:val="32"/>
          <w:lang w:eastAsia="zh-CN"/>
        </w:rPr>
        <w:t>元，其中人员经费</w:t>
      </w:r>
      <w:r>
        <w:rPr>
          <w:rFonts w:hint="eastAsia" w:ascii="仿宋_GB2312" w:eastAsia="仿宋_GB2312"/>
          <w:sz w:val="32"/>
          <w:szCs w:val="32"/>
          <w:lang w:val="en-US" w:eastAsia="zh-CN"/>
        </w:rPr>
        <w:t>5718142.79</w:t>
      </w:r>
      <w:r>
        <w:rPr>
          <w:rFonts w:hint="eastAsia" w:ascii="仿宋_GB2312" w:eastAsia="仿宋_GB2312"/>
          <w:sz w:val="32"/>
          <w:szCs w:val="32"/>
          <w:lang w:eastAsia="zh-CN"/>
        </w:rPr>
        <w:t>元，公用经费</w:t>
      </w:r>
      <w:r>
        <w:rPr>
          <w:rFonts w:hint="eastAsia" w:ascii="仿宋_GB2312" w:eastAsia="仿宋_GB2312"/>
          <w:sz w:val="32"/>
          <w:szCs w:val="32"/>
          <w:lang w:val="en-US" w:eastAsia="zh-CN"/>
        </w:rPr>
        <w:t>301735</w:t>
      </w:r>
      <w:r>
        <w:rPr>
          <w:rFonts w:hint="eastAsia" w:ascii="仿宋_GB2312" w:eastAsia="仿宋_GB2312"/>
          <w:sz w:val="32"/>
          <w:szCs w:val="32"/>
          <w:lang w:eastAsia="zh-CN"/>
        </w:rPr>
        <w:t>元。</w:t>
      </w:r>
    </w:p>
    <w:p>
      <w:pPr>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eastAsia="zh-CN"/>
        </w:rPr>
        <w:t>（二）项目支出：</w:t>
      </w:r>
      <w:r>
        <w:rPr>
          <w:rFonts w:hint="eastAsia" w:ascii="仿宋_GB2312" w:eastAsia="仿宋_GB2312"/>
          <w:sz w:val="32"/>
          <w:szCs w:val="32"/>
          <w:lang w:val="en-US" w:eastAsia="zh-CN"/>
        </w:rPr>
        <w:t>2022年度项目支出16440154.32元。</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（三）“三公”经费决算说明： 严控“三公经费”的使用，我局严格按照县纪委、县财政局有关公务用车管理办法、公务接待工作管理办法和因公出国管理规定，规范了“三公经费”开支。</w:t>
      </w:r>
      <w:r>
        <w:rPr>
          <w:rFonts w:hint="eastAsia" w:ascii="仿宋_GB2312" w:eastAsia="仿宋_GB2312"/>
          <w:sz w:val="32"/>
          <w:szCs w:val="32"/>
          <w:lang w:val="en-US" w:eastAsia="zh-CN"/>
        </w:rPr>
        <w:t>2023年度</w:t>
      </w:r>
      <w:r>
        <w:rPr>
          <w:rFonts w:hint="eastAsia" w:ascii="仿宋_GB2312" w:eastAsia="仿宋_GB2312"/>
          <w:sz w:val="32"/>
          <w:szCs w:val="32"/>
          <w:lang w:eastAsia="zh-CN"/>
        </w:rPr>
        <w:t>“三公经费”支出</w:t>
      </w:r>
      <w:r>
        <w:rPr>
          <w:rFonts w:hint="eastAsia" w:ascii="仿宋_GB2312" w:eastAsia="仿宋_GB2312"/>
          <w:sz w:val="32"/>
          <w:szCs w:val="32"/>
          <w:lang w:val="en-US" w:eastAsia="zh-CN"/>
        </w:rPr>
        <w:t>31628</w:t>
      </w:r>
      <w:r>
        <w:rPr>
          <w:rFonts w:hint="eastAsia" w:ascii="仿宋_GB2312" w:eastAsia="仿宋_GB2312"/>
          <w:sz w:val="32"/>
          <w:szCs w:val="32"/>
          <w:lang w:eastAsia="zh-CN"/>
        </w:rPr>
        <w:t>元，其中公务接待费支出</w:t>
      </w:r>
      <w:r>
        <w:rPr>
          <w:rFonts w:hint="eastAsia" w:ascii="仿宋_GB2312" w:eastAsia="仿宋_GB2312"/>
          <w:sz w:val="32"/>
          <w:szCs w:val="32"/>
          <w:lang w:val="en-US" w:eastAsia="zh-CN"/>
        </w:rPr>
        <w:t>31628</w:t>
      </w:r>
      <w:r>
        <w:rPr>
          <w:rFonts w:hint="eastAsia" w:ascii="仿宋_GB2312" w:eastAsia="仿宋_GB2312"/>
          <w:sz w:val="32"/>
          <w:szCs w:val="32"/>
          <w:lang w:eastAsia="zh-CN"/>
        </w:rPr>
        <w:t>元，无出国（境）费用。</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四）支出管理情况：我局基本支出的范围和主要用途包括部门的人员经费和日常公用经费。具体包括：工资福利支出、对个人和家庭的补助、商品和服务支出。基本支出的管理和使用都严格执行财务支出管理制度。</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五）资产管理情况：加强内部管理，进一步规范资产管理制度，加强资产管理制度建设和工作机制。单位按照“统一领导，归口管理、分级负责、责任到人、科学配置、管用结合、物尽其用”的原则，实行所有权和使用权分离，使我局资产管理行为有章可循。本单位资产的管理使用力求做到“购置有计划并按程序审批，验收严肃认真，使用保管有专人，变动有手续，既保证需要，又防止浪费”。资产的增添贯彻勤俭节约的方针，充分考虑单位的需要和财力，尽量避免资产闲置和重复购置的情况出现，力争做到“优质低价、合理布局、统筹安排、突出重点”。加强内部学习和培训，通过决算和固定资产决算，做到账表一致。</w:t>
      </w:r>
    </w:p>
    <w:p>
      <w:pPr>
        <w:spacing w:line="56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三、整体支出绩效情况</w:t>
      </w:r>
    </w:p>
    <w:p>
      <w:pPr>
        <w:keepNext w:val="0"/>
        <w:keepLines w:val="0"/>
        <w:pageBreakBefore w:val="0"/>
        <w:widowControl w:val="0"/>
        <w:kinsoku/>
        <w:wordWrap/>
        <w:overflowPunct/>
        <w:topLinePunct w:val="0"/>
        <w:autoSpaceDE/>
        <w:autoSpaceDN/>
        <w:bidi w:val="0"/>
        <w:adjustRightInd w:val="0"/>
        <w:snapToGrid w:val="0"/>
        <w:spacing w:after="0" w:line="600" w:lineRule="exact"/>
        <w:ind w:firstLine="643" w:firstLineChars="200"/>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楷体_GB2312" w:cs="Times New Roman"/>
          <w:b/>
          <w:bCs/>
          <w:color w:val="auto"/>
          <w:spacing w:val="0"/>
          <w:sz w:val="32"/>
          <w:szCs w:val="32"/>
          <w:lang w:val="en-US" w:eastAsia="zh-CN" w:bidi="ar"/>
        </w:rPr>
        <w:t>（一）经济运行平稳向好。</w:t>
      </w:r>
      <w:r>
        <w:rPr>
          <w:rFonts w:hint="default" w:ascii="Times New Roman" w:hAnsi="Times New Roman" w:eastAsia="仿宋_GB2312" w:cs="Times New Roman"/>
          <w:color w:val="auto"/>
          <w:spacing w:val="0"/>
          <w:kern w:val="0"/>
          <w:sz w:val="32"/>
          <w:szCs w:val="32"/>
          <w:lang w:val="en-US" w:eastAsia="zh-CN" w:bidi="ar-SA"/>
        </w:rPr>
        <w:t>严格落实“一年一清单”“一季一调度”和“一指标一方案”机制，制定</w:t>
      </w:r>
      <w:r>
        <w:rPr>
          <w:rFonts w:hint="default" w:ascii="Times New Roman" w:hAnsi="Times New Roman" w:eastAsia="仿宋_GB2312" w:cs="Times New Roman"/>
          <w:color w:val="auto"/>
          <w:spacing w:val="0"/>
          <w:sz w:val="32"/>
          <w:szCs w:val="32"/>
        </w:rPr>
        <w:t>印发</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lang w:val="en-US" w:eastAsia="zh-CN"/>
        </w:rPr>
        <w:t>2023年</w:t>
      </w:r>
      <w:r>
        <w:rPr>
          <w:rFonts w:hint="default" w:ascii="Times New Roman" w:hAnsi="Times New Roman" w:eastAsia="仿宋_GB2312" w:cs="Times New Roman"/>
          <w:color w:val="auto"/>
          <w:spacing w:val="0"/>
          <w:sz w:val="32"/>
          <w:szCs w:val="32"/>
          <w:lang w:eastAsia="zh-CN"/>
        </w:rPr>
        <w:t>县域经济发展综合评价“一指标一方案”》《山丹县强县域行动实施方案（2022—2025年）2023年度重点任务清单</w:t>
      </w:r>
      <w:r>
        <w:rPr>
          <w:rFonts w:hint="default" w:ascii="Times New Roman" w:hAnsi="Times New Roman" w:eastAsia="仿宋_GB2312" w:cs="Times New Roman"/>
          <w:color w:val="auto"/>
          <w:spacing w:val="0"/>
          <w:sz w:val="32"/>
          <w:szCs w:val="32"/>
        </w:rPr>
        <w:t>》</w:t>
      </w:r>
      <w:r>
        <w:rPr>
          <w:rFonts w:hint="default" w:ascii="Times New Roman" w:hAnsi="Times New Roman" w:eastAsia="仿宋_GB2312" w:cs="Times New Roman"/>
          <w:b w:val="0"/>
          <w:bCs w:val="0"/>
          <w:color w:val="auto"/>
          <w:spacing w:val="0"/>
          <w:sz w:val="32"/>
          <w:szCs w:val="32"/>
          <w:lang w:val="en-US" w:eastAsia="zh-CN"/>
        </w:rPr>
        <w:t>，</w:t>
      </w:r>
      <w:r>
        <w:rPr>
          <w:rFonts w:hint="default" w:ascii="Times New Roman" w:hAnsi="Times New Roman" w:eastAsia="仿宋_GB2312" w:cs="Times New Roman"/>
          <w:color w:val="auto"/>
          <w:spacing w:val="0"/>
          <w:sz w:val="32"/>
          <w:szCs w:val="32"/>
        </w:rPr>
        <w:t>围绕县域经济发展评价涉及的23项正向指标及5项逆向指标，</w:t>
      </w:r>
      <w:r>
        <w:rPr>
          <w:rFonts w:hint="default" w:ascii="Times New Roman" w:hAnsi="Times New Roman" w:eastAsia="仿宋_GB2312" w:cs="Times New Roman"/>
          <w:b w:val="0"/>
          <w:bCs w:val="0"/>
          <w:color w:val="auto"/>
          <w:spacing w:val="0"/>
          <w:sz w:val="32"/>
          <w:szCs w:val="32"/>
          <w:lang w:val="en-US" w:eastAsia="zh-CN"/>
        </w:rPr>
        <w:t>紧盯目标节点，把握重点环节，狠抓工作落实，奋力实现全年经济发展目标。提请县政府逐月召开经济运行调度会议</w:t>
      </w:r>
      <w:r>
        <w:rPr>
          <w:rFonts w:hint="default" w:ascii="Times New Roman" w:hAnsi="Times New Roman" w:eastAsia="仿宋_GB2312" w:cs="Times New Roman"/>
          <w:color w:val="auto"/>
          <w:spacing w:val="0"/>
          <w:sz w:val="32"/>
          <w:szCs w:val="32"/>
          <w:lang w:val="en-US" w:eastAsia="zh-CN"/>
        </w:rPr>
        <w:t>，</w:t>
      </w:r>
      <w:r>
        <w:rPr>
          <w:rFonts w:hint="default" w:ascii="Times New Roman" w:hAnsi="Times New Roman" w:eastAsia="仿宋_GB2312" w:cs="Times New Roman"/>
          <w:b w:val="0"/>
          <w:bCs w:val="0"/>
          <w:color w:val="auto"/>
          <w:spacing w:val="0"/>
          <w:sz w:val="32"/>
          <w:szCs w:val="32"/>
          <w:lang w:val="en-US" w:eastAsia="zh-CN"/>
        </w:rPr>
        <w:t>拼经济、抢进度，</w:t>
      </w:r>
      <w:r>
        <w:rPr>
          <w:rFonts w:hint="default" w:ascii="Times New Roman" w:hAnsi="Times New Roman" w:eastAsia="仿宋_GB2312" w:cs="Times New Roman"/>
          <w:color w:val="auto"/>
          <w:spacing w:val="0"/>
          <w:sz w:val="32"/>
          <w:szCs w:val="32"/>
          <w:lang w:eastAsia="zh-CN"/>
        </w:rPr>
        <w:t>推动稳定向好指标快增长，力促低位徘徊指标补欠账</w:t>
      </w:r>
      <w:r>
        <w:rPr>
          <w:rFonts w:hint="default" w:ascii="Times New Roman" w:hAnsi="Times New Roman" w:eastAsia="仿宋_GB2312" w:cs="Times New Roman"/>
          <w:color w:val="auto"/>
          <w:spacing w:val="0"/>
          <w:sz w:val="32"/>
          <w:szCs w:val="32"/>
          <w:lang w:val="en-US" w:eastAsia="zh-CN"/>
        </w:rPr>
        <w:t>，确保主要经济指标保持在合理区间，</w:t>
      </w:r>
      <w:r>
        <w:rPr>
          <w:rFonts w:hint="default" w:ascii="Times New Roman" w:hAnsi="Times New Roman" w:eastAsia="仿宋_GB2312" w:cs="Times New Roman"/>
          <w:color w:val="auto"/>
          <w:spacing w:val="0"/>
          <w:sz w:val="32"/>
          <w:szCs w:val="32"/>
          <w:lang w:eastAsia="zh-CN"/>
        </w:rPr>
        <w:t>力争</w:t>
      </w:r>
      <w:r>
        <w:rPr>
          <w:rFonts w:hint="default" w:ascii="Times New Roman" w:hAnsi="Times New Roman" w:eastAsia="仿宋_GB2312" w:cs="Times New Roman"/>
          <w:color w:val="auto"/>
          <w:spacing w:val="0"/>
          <w:sz w:val="32"/>
          <w:szCs w:val="32"/>
        </w:rPr>
        <w:t>在全省县域经济发展综合评价</w:t>
      </w:r>
      <w:r>
        <w:rPr>
          <w:rFonts w:hint="default" w:ascii="Times New Roman" w:hAnsi="Times New Roman" w:eastAsia="仿宋_GB2312" w:cs="Times New Roman"/>
          <w:color w:val="auto"/>
          <w:spacing w:val="0"/>
          <w:sz w:val="32"/>
          <w:szCs w:val="32"/>
          <w:lang w:eastAsia="zh-CN"/>
        </w:rPr>
        <w:t>中</w:t>
      </w:r>
      <w:r>
        <w:rPr>
          <w:rFonts w:hint="default" w:ascii="Times New Roman" w:hAnsi="Times New Roman" w:eastAsia="仿宋_GB2312" w:cs="Times New Roman"/>
          <w:color w:val="auto"/>
          <w:spacing w:val="0"/>
          <w:sz w:val="32"/>
          <w:szCs w:val="32"/>
        </w:rPr>
        <w:t>实现争先进位</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lang w:val="en-US" w:eastAsia="zh-CN"/>
        </w:rPr>
        <w:t>预计全年</w:t>
      </w:r>
      <w:r>
        <w:rPr>
          <w:rFonts w:hint="default" w:ascii="Times New Roman" w:hAnsi="Times New Roman" w:eastAsia="仿宋_GB2312" w:cs="Times New Roman"/>
          <w:sz w:val="32"/>
          <w:szCs w:val="32"/>
        </w:rPr>
        <w:t>实现地区生产总值</w:t>
      </w:r>
      <w:r>
        <w:rPr>
          <w:rFonts w:hint="default" w:ascii="Times New Roman" w:hAnsi="Times New Roman" w:eastAsia="仿宋_GB2312" w:cs="Times New Roman"/>
          <w:color w:val="000000"/>
          <w:sz w:val="32"/>
          <w:szCs w:val="32"/>
          <w:lang w:val="en-US" w:eastAsia="zh-CN"/>
        </w:rPr>
        <w:t>84.5</w:t>
      </w:r>
      <w:r>
        <w:rPr>
          <w:rFonts w:hint="default" w:ascii="Times New Roman" w:hAnsi="Times New Roman" w:eastAsia="仿宋_GB2312" w:cs="Times New Roman"/>
          <w:color w:val="000000"/>
          <w:sz w:val="32"/>
          <w:szCs w:val="32"/>
        </w:rPr>
        <w:t>亿元，同比增长</w:t>
      </w:r>
      <w:r>
        <w:rPr>
          <w:rFonts w:hint="default" w:ascii="Times New Roman" w:hAnsi="Times New Roman" w:eastAsia="仿宋_GB2312" w:cs="Times New Roman"/>
          <w:color w:val="000000"/>
          <w:sz w:val="32"/>
          <w:szCs w:val="32"/>
          <w:lang w:val="en-US" w:eastAsia="zh-CN"/>
        </w:rPr>
        <w:t>6.5</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color w:val="000000"/>
          <w:spacing w:val="0"/>
          <w:sz w:val="32"/>
          <w:szCs w:val="32"/>
        </w:rPr>
        <w:t>能耗</w:t>
      </w:r>
      <w:r>
        <w:rPr>
          <w:rFonts w:hint="default" w:ascii="Times New Roman" w:hAnsi="Times New Roman" w:eastAsia="仿宋_GB2312" w:cs="Times New Roman"/>
          <w:color w:val="000000"/>
          <w:spacing w:val="0"/>
          <w:sz w:val="32"/>
          <w:szCs w:val="32"/>
          <w:lang w:eastAsia="zh-CN"/>
        </w:rPr>
        <w:t>双控</w:t>
      </w:r>
      <w:r>
        <w:rPr>
          <w:rFonts w:hint="default" w:ascii="Times New Roman" w:hAnsi="Times New Roman" w:eastAsia="仿宋_GB2312" w:cs="Times New Roman"/>
          <w:color w:val="000000"/>
          <w:spacing w:val="0"/>
          <w:sz w:val="32"/>
          <w:szCs w:val="32"/>
        </w:rPr>
        <w:t>指标均完成年度目标</w:t>
      </w:r>
      <w:r>
        <w:rPr>
          <w:rFonts w:hint="default" w:ascii="Times New Roman" w:hAnsi="Times New Roman" w:eastAsia="仿宋_GB2312" w:cs="Times New Roman"/>
          <w:color w:val="000000"/>
          <w:spacing w:val="0"/>
          <w:sz w:val="32"/>
          <w:szCs w:val="32"/>
          <w:lang w:eastAsia="zh-CN"/>
        </w:rPr>
        <w:t>任务</w:t>
      </w:r>
      <w:r>
        <w:rPr>
          <w:rFonts w:hint="default" w:ascii="Times New Roman" w:hAnsi="Times New Roman" w:eastAsia="仿宋_GB2312" w:cs="Times New Roman"/>
          <w:color w:val="000000"/>
          <w:spacing w:val="0"/>
          <w:sz w:val="32"/>
          <w:szCs w:val="32"/>
        </w:rPr>
        <w:t>。</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仿宋_GB2312" w:hAnsi="仿宋_GB2312" w:eastAsia="仿宋_GB2312" w:cs="仿宋_GB2312"/>
          <w:spacing w:val="-6"/>
          <w:sz w:val="32"/>
          <w:szCs w:val="32"/>
          <w:lang w:val="en-US" w:eastAsia="zh-CN"/>
        </w:rPr>
      </w:pPr>
      <w:r>
        <w:rPr>
          <w:rFonts w:hint="default" w:ascii="Times New Roman" w:hAnsi="Times New Roman" w:eastAsia="楷体_GB2312" w:cs="Times New Roman"/>
          <w:b/>
          <w:bCs/>
          <w:color w:val="auto"/>
          <w:spacing w:val="0"/>
          <w:sz w:val="32"/>
          <w:szCs w:val="32"/>
          <w:lang w:val="en-US" w:eastAsia="zh-CN" w:bidi="ar"/>
        </w:rPr>
        <w:t>（二）重点项目支撑有力。</w:t>
      </w:r>
      <w:r>
        <w:rPr>
          <w:rFonts w:hint="eastAsia" w:ascii="Times New Roman" w:hAnsi="Times New Roman" w:eastAsia="仿宋_GB2312" w:cs="Times New Roman"/>
          <w:color w:val="auto"/>
          <w:spacing w:val="0"/>
          <w:sz w:val="32"/>
          <w:szCs w:val="32"/>
          <w:lang w:val="en-US" w:eastAsia="zh-CN"/>
        </w:rPr>
        <w:t>大力</w:t>
      </w:r>
      <w:r>
        <w:rPr>
          <w:rFonts w:hint="default" w:ascii="Times New Roman" w:hAnsi="Times New Roman" w:eastAsia="仿宋_GB2312" w:cs="Times New Roman"/>
          <w:color w:val="auto"/>
          <w:spacing w:val="0"/>
          <w:sz w:val="32"/>
          <w:szCs w:val="32"/>
          <w:lang w:val="en-US" w:eastAsia="zh-CN"/>
        </w:rPr>
        <w:t>开展“冬日无闲·大抓项目”活动，</w:t>
      </w:r>
      <w:r>
        <w:rPr>
          <w:rFonts w:hint="default" w:ascii="Times New Roman" w:hAnsi="Times New Roman" w:eastAsia="仿宋_GB2312" w:cs="Times New Roman"/>
          <w:color w:val="auto"/>
          <w:spacing w:val="0"/>
          <w:sz w:val="32"/>
          <w:szCs w:val="32"/>
        </w:rPr>
        <w:t>制发《山丹县贯彻落实“三抓三促”行动推动项目落地“大提速”行动实施方案》</w:t>
      </w:r>
      <w:r>
        <w:rPr>
          <w:rFonts w:hint="default" w:ascii="Times New Roman" w:hAnsi="Times New Roman" w:eastAsia="仿宋_GB2312" w:cs="Times New Roman"/>
          <w:color w:val="auto"/>
          <w:spacing w:val="0"/>
          <w:sz w:val="32"/>
          <w:szCs w:val="32"/>
          <w:lang w:eastAsia="zh-CN"/>
        </w:rPr>
        <w:t>，参与全省重大项目集中开工活动</w:t>
      </w:r>
      <w:r>
        <w:rPr>
          <w:rFonts w:hint="default" w:ascii="Times New Roman" w:hAnsi="Times New Roman" w:eastAsia="仿宋_GB2312" w:cs="Times New Roman"/>
          <w:color w:val="auto"/>
          <w:spacing w:val="0"/>
          <w:sz w:val="32"/>
          <w:szCs w:val="32"/>
        </w:rPr>
        <w:t>，</w:t>
      </w:r>
      <w:r>
        <w:rPr>
          <w:rFonts w:hint="default" w:ascii="Times New Roman" w:hAnsi="Times New Roman" w:eastAsia="仿宋_GB2312" w:cs="Times New Roman"/>
          <w:color w:val="auto"/>
          <w:spacing w:val="0"/>
          <w:w w:val="100"/>
          <w:kern w:val="2"/>
          <w:sz w:val="32"/>
          <w:szCs w:val="32"/>
          <w:lang w:val="en-US" w:eastAsia="zh-CN" w:bidi="ar-SA"/>
        </w:rPr>
        <w:t>落实县级领导联系包抓项目制度、“三个清单”责任制，以攻坚之势、非常之举抓项目扩投资</w:t>
      </w:r>
      <w:r>
        <w:rPr>
          <w:rFonts w:hint="default" w:ascii="Times New Roman" w:hAnsi="Times New Roman" w:eastAsia="仿宋_GB2312" w:cs="Times New Roman"/>
          <w:b w:val="0"/>
          <w:bCs w:val="0"/>
          <w:i w:val="0"/>
          <w:iCs w:val="0"/>
          <w:caps w:val="0"/>
          <w:color w:val="auto"/>
          <w:spacing w:val="0"/>
          <w:kern w:val="0"/>
          <w:sz w:val="32"/>
          <w:szCs w:val="32"/>
          <w:lang w:val="en-US" w:eastAsia="zh-CN" w:bidi="ar"/>
        </w:rPr>
        <w:t>。</w:t>
      </w:r>
      <w:r>
        <w:rPr>
          <w:rFonts w:hint="default" w:ascii="Times New Roman" w:hAnsi="Times New Roman" w:eastAsia="仿宋_GB2312" w:cs="Times New Roman"/>
          <w:color w:val="auto"/>
          <w:spacing w:val="0"/>
          <w:sz w:val="32"/>
          <w:szCs w:val="32"/>
        </w:rPr>
        <w:t>全县投资项目由年初131个滚动增加至156个，总投资488.5亿元，年度计划投资120.56亿元。</w:t>
      </w:r>
      <w:r>
        <w:rPr>
          <w:rFonts w:hint="default" w:ascii="Times New Roman" w:hAnsi="Times New Roman" w:eastAsia="仿宋_GB2312" w:cs="Times New Roman"/>
          <w:b w:val="0"/>
          <w:bCs w:val="0"/>
          <w:i w:val="0"/>
          <w:iCs w:val="0"/>
          <w:caps w:val="0"/>
          <w:color w:val="auto"/>
          <w:spacing w:val="0"/>
          <w:kern w:val="0"/>
          <w:sz w:val="32"/>
          <w:szCs w:val="32"/>
          <w:lang w:val="en-US" w:eastAsia="zh-CN" w:bidi="ar"/>
        </w:rPr>
        <w:t>聚焦交通、水利、城市更新、乡村振兴等领域，支持民间资本参与102项重大工程建设。</w:t>
      </w:r>
      <w:r>
        <w:rPr>
          <w:rFonts w:hint="default" w:ascii="Times New Roman" w:hAnsi="Times New Roman" w:eastAsia="仿宋_GB2312" w:cs="Times New Roman"/>
          <w:color w:val="000000"/>
          <w:sz w:val="32"/>
          <w:szCs w:val="32"/>
          <w:lang w:val="en" w:eastAsia="zh-CN"/>
        </w:rPr>
        <w:t>预计</w:t>
      </w:r>
      <w:r>
        <w:rPr>
          <w:rFonts w:hint="default" w:ascii="Times New Roman" w:hAnsi="Times New Roman" w:eastAsia="仿宋_GB2312" w:cs="Times New Roman"/>
          <w:color w:val="000000"/>
          <w:sz w:val="32"/>
          <w:szCs w:val="32"/>
          <w:lang w:val="en-US" w:eastAsia="zh-CN"/>
        </w:rPr>
        <w:t>全年</w:t>
      </w:r>
      <w:r>
        <w:rPr>
          <w:rFonts w:hint="default" w:ascii="Times New Roman" w:hAnsi="Times New Roman" w:eastAsia="仿宋_GB2312" w:cs="Times New Roman"/>
          <w:color w:val="auto"/>
          <w:spacing w:val="0"/>
          <w:sz w:val="32"/>
          <w:szCs w:val="32"/>
        </w:rPr>
        <w:t>完成固定资产</w:t>
      </w:r>
      <w:r>
        <w:rPr>
          <w:rFonts w:hint="default" w:ascii="Times New Roman" w:hAnsi="Times New Roman" w:eastAsia="仿宋_GB2312" w:cs="Times New Roman"/>
          <w:color w:val="auto"/>
          <w:spacing w:val="0"/>
          <w:sz w:val="32"/>
          <w:szCs w:val="32"/>
          <w:lang w:val="en-US" w:eastAsia="zh-CN"/>
        </w:rPr>
        <w:t>45.4</w:t>
      </w:r>
      <w:r>
        <w:rPr>
          <w:rFonts w:hint="default" w:ascii="Times New Roman" w:hAnsi="Times New Roman" w:eastAsia="仿宋_GB2312" w:cs="Times New Roman"/>
          <w:color w:val="auto"/>
          <w:spacing w:val="0"/>
          <w:sz w:val="32"/>
          <w:szCs w:val="32"/>
        </w:rPr>
        <w:t>亿元，增长</w:t>
      </w:r>
      <w:r>
        <w:rPr>
          <w:rFonts w:hint="default" w:ascii="Times New Roman" w:hAnsi="Times New Roman" w:eastAsia="仿宋_GB2312" w:cs="Times New Roman"/>
          <w:color w:val="auto"/>
          <w:spacing w:val="0"/>
          <w:sz w:val="32"/>
          <w:szCs w:val="32"/>
          <w:lang w:val="en-US" w:eastAsia="zh-CN"/>
        </w:rPr>
        <w:t>17</w:t>
      </w:r>
      <w:r>
        <w:rPr>
          <w:rFonts w:hint="default" w:ascii="Times New Roman" w:hAnsi="Times New Roman" w:eastAsia="仿宋_GB2312" w:cs="Times New Roman"/>
          <w:color w:val="auto"/>
          <w:spacing w:val="0"/>
          <w:sz w:val="32"/>
          <w:szCs w:val="32"/>
        </w:rPr>
        <w:t>%</w:t>
      </w:r>
      <w:r>
        <w:rPr>
          <w:rFonts w:hint="eastAsia" w:ascii="Times New Roman" w:hAnsi="Times New Roman" w:eastAsia="仿宋_GB2312" w:cs="Times New Roman"/>
          <w:color w:val="auto"/>
          <w:spacing w:val="0"/>
          <w:sz w:val="32"/>
          <w:szCs w:val="32"/>
          <w:lang w:eastAsia="zh-CN"/>
        </w:rPr>
        <w:t>左右</w:t>
      </w:r>
      <w:r>
        <w:rPr>
          <w:rFonts w:hint="default" w:ascii="Times New Roman" w:hAnsi="Times New Roman" w:eastAsia="仿宋_GB2312" w:cs="Times New Roman"/>
          <w:color w:val="auto"/>
          <w:spacing w:val="0"/>
          <w:sz w:val="32"/>
          <w:szCs w:val="32"/>
          <w:lang w:eastAsia="zh-CN"/>
        </w:rPr>
        <w:t>。围绕国家政策导向和投资方向，深化项目可行性研究等前期论证，全年累计争取下达中央预算内和省级资金项目12个、1.19亿元，特别国债项目</w:t>
      </w:r>
      <w:r>
        <w:rPr>
          <w:rFonts w:hint="eastAsia" w:ascii="Times New Roman" w:hAnsi="Times New Roman" w:eastAsia="仿宋_GB2312" w:cs="Times New Roman"/>
          <w:color w:val="auto"/>
          <w:spacing w:val="0"/>
          <w:sz w:val="32"/>
          <w:szCs w:val="32"/>
          <w:lang w:val="en-US" w:eastAsia="zh-CN"/>
        </w:rPr>
        <w:t>5</w:t>
      </w:r>
      <w:r>
        <w:rPr>
          <w:rFonts w:hint="default" w:ascii="Times New Roman" w:hAnsi="Times New Roman" w:eastAsia="仿宋_GB2312" w:cs="Times New Roman"/>
          <w:color w:val="auto"/>
          <w:spacing w:val="0"/>
          <w:sz w:val="32"/>
          <w:szCs w:val="32"/>
          <w:lang w:eastAsia="zh-CN"/>
        </w:rPr>
        <w:t>个、</w:t>
      </w:r>
      <w:r>
        <w:rPr>
          <w:rFonts w:hint="eastAsia" w:ascii="Times New Roman" w:hAnsi="Times New Roman" w:eastAsia="仿宋_GB2312" w:cs="Times New Roman"/>
          <w:color w:val="auto"/>
          <w:spacing w:val="0"/>
          <w:sz w:val="32"/>
          <w:szCs w:val="32"/>
          <w:lang w:val="en-US" w:eastAsia="zh-CN"/>
        </w:rPr>
        <w:t>2.97</w:t>
      </w:r>
      <w:r>
        <w:rPr>
          <w:rFonts w:hint="default" w:ascii="Times New Roman" w:hAnsi="Times New Roman" w:eastAsia="仿宋_GB2312" w:cs="Times New Roman"/>
          <w:color w:val="auto"/>
          <w:spacing w:val="0"/>
          <w:sz w:val="32"/>
          <w:szCs w:val="32"/>
          <w:lang w:eastAsia="zh-CN"/>
        </w:rPr>
        <w:t>亿元，进入地方政府专项债券国家反馈清单项目21个，下达资金及额度2.32亿元，</w:t>
      </w:r>
      <w:r>
        <w:rPr>
          <w:rFonts w:hint="default" w:ascii="Times New Roman" w:hAnsi="Times New Roman" w:eastAsia="仿宋_GB2312" w:cs="Times New Roman"/>
          <w:color w:val="auto"/>
          <w:spacing w:val="-6"/>
          <w:sz w:val="32"/>
          <w:szCs w:val="32"/>
          <w:lang w:eastAsia="zh-CN"/>
        </w:rPr>
        <w:t>全力保障了重点项目建设资金需求。</w:t>
      </w:r>
      <w:r>
        <w:rPr>
          <w:rFonts w:hint="default" w:ascii="Times New Roman" w:hAnsi="Times New Roman" w:eastAsia="仿宋_GB2312" w:cs="Times New Roman"/>
          <w:color w:val="auto"/>
          <w:spacing w:val="-6"/>
          <w:kern w:val="2"/>
          <w:sz w:val="32"/>
          <w:szCs w:val="32"/>
          <w:lang w:val="en-US" w:eastAsia="zh-CN" w:bidi="ar-SA"/>
        </w:rPr>
        <w:t>抢抓国家和省市促进民营经济发展壮大、实施“八改”工程等政策利好，挖掘政策“含金量”，做足工作“提前量”，初步谋划储备2024年</w:t>
      </w:r>
      <w:r>
        <w:rPr>
          <w:rFonts w:hint="default" w:ascii="Times New Roman" w:hAnsi="Times New Roman" w:eastAsia="仿宋_GB2312" w:cs="Times New Roman"/>
          <w:color w:val="auto"/>
          <w:spacing w:val="-6"/>
          <w:sz w:val="32"/>
          <w:szCs w:val="32"/>
          <w:lang w:val="en-US" w:eastAsia="zh-CN"/>
        </w:rPr>
        <w:t>实施的重点项目</w:t>
      </w:r>
      <w:r>
        <w:rPr>
          <w:rFonts w:hint="eastAsia" w:ascii="Times New Roman" w:hAnsi="Times New Roman" w:eastAsia="仿宋_GB2312" w:cs="Times New Roman"/>
          <w:color w:val="auto"/>
          <w:spacing w:val="-6"/>
          <w:sz w:val="32"/>
          <w:szCs w:val="32"/>
          <w:lang w:val="en-US" w:eastAsia="zh-CN"/>
        </w:rPr>
        <w:t>111</w:t>
      </w:r>
      <w:r>
        <w:rPr>
          <w:rFonts w:hint="default" w:ascii="Times New Roman" w:hAnsi="Times New Roman" w:eastAsia="仿宋_GB2312" w:cs="Times New Roman"/>
          <w:color w:val="auto"/>
          <w:spacing w:val="-6"/>
          <w:sz w:val="32"/>
          <w:szCs w:val="32"/>
          <w:lang w:val="en-US" w:eastAsia="zh-CN"/>
        </w:rPr>
        <w:t>个，</w:t>
      </w:r>
      <w:r>
        <w:rPr>
          <w:rFonts w:hint="eastAsia" w:ascii="仿宋_GB2312" w:hAnsi="仿宋_GB2312" w:eastAsia="仿宋_GB2312" w:cs="仿宋_GB2312"/>
          <w:spacing w:val="-6"/>
          <w:sz w:val="32"/>
          <w:szCs w:val="32"/>
          <w:lang w:val="en-US" w:eastAsia="zh-CN"/>
        </w:rPr>
        <w:t>总投资366.45亿元，年度计划投资71.76亿元。</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楷体_GB2312" w:cs="Times New Roman"/>
          <w:b/>
          <w:bCs/>
          <w:color w:val="auto"/>
          <w:spacing w:val="0"/>
          <w:sz w:val="32"/>
          <w:szCs w:val="32"/>
          <w:lang w:val="en-US" w:eastAsia="zh-CN" w:bidi="ar"/>
        </w:rPr>
        <w:t>（三）招商引资成效显著。</w:t>
      </w:r>
      <w:r>
        <w:rPr>
          <w:rFonts w:hint="default" w:ascii="Times New Roman" w:hAnsi="Times New Roman" w:eastAsia="仿宋_GB2312" w:cs="Times New Roman"/>
          <w:i w:val="0"/>
          <w:color w:val="auto"/>
          <w:spacing w:val="0"/>
          <w:kern w:val="2"/>
          <w:sz w:val="32"/>
          <w:szCs w:val="32"/>
          <w:lang w:val="en-US" w:eastAsia="zh-CN" w:bidi="ar-SA"/>
        </w:rPr>
        <w:t>印发实施《山丹县招商引资工作评价考核办法》</w:t>
      </w:r>
      <w:r>
        <w:rPr>
          <w:rFonts w:hint="default" w:ascii="Times New Roman" w:hAnsi="Times New Roman" w:eastAsia="仿宋_GB2312" w:cs="Times New Roman"/>
          <w:color w:val="auto"/>
          <w:spacing w:val="0"/>
          <w:sz w:val="32"/>
          <w:szCs w:val="32"/>
          <w:lang w:val="en-US" w:eastAsia="zh-CN"/>
        </w:rPr>
        <w:t>《山丹县招商引资若干政策措施》</w:t>
      </w:r>
      <w:r>
        <w:rPr>
          <w:rFonts w:hint="default" w:ascii="Times New Roman" w:hAnsi="Times New Roman" w:eastAsia="仿宋_GB2312" w:cs="Times New Roman"/>
          <w:i w:val="0"/>
          <w:color w:val="auto"/>
          <w:spacing w:val="0"/>
          <w:kern w:val="2"/>
          <w:sz w:val="32"/>
          <w:szCs w:val="32"/>
          <w:lang w:val="en-US" w:eastAsia="zh-CN" w:bidi="ar-SA"/>
        </w:rPr>
        <w:t>等文件，</w:t>
      </w:r>
      <w:r>
        <w:rPr>
          <w:rFonts w:hint="default" w:ascii="Times New Roman" w:hAnsi="Times New Roman" w:eastAsia="仿宋_GB2312" w:cs="Times New Roman"/>
          <w:color w:val="auto"/>
          <w:spacing w:val="0"/>
          <w:sz w:val="32"/>
          <w:szCs w:val="32"/>
          <w:lang w:val="en-US" w:eastAsia="zh"/>
        </w:rPr>
        <w:t>推动招商引资</w:t>
      </w:r>
      <w:r>
        <w:rPr>
          <w:rFonts w:hint="default" w:ascii="Times New Roman" w:hAnsi="Times New Roman" w:eastAsia="仿宋_GB2312" w:cs="Times New Roman"/>
          <w:color w:val="auto"/>
          <w:spacing w:val="0"/>
          <w:sz w:val="32"/>
          <w:szCs w:val="32"/>
          <w:lang w:val="en-US" w:eastAsia="zh-CN"/>
        </w:rPr>
        <w:t>取得新进展</w:t>
      </w:r>
      <w:r>
        <w:rPr>
          <w:rFonts w:hint="default" w:ascii="Times New Roman" w:hAnsi="Times New Roman" w:eastAsia="仿宋_GB2312" w:cs="Times New Roman"/>
          <w:color w:val="auto"/>
          <w:spacing w:val="0"/>
          <w:sz w:val="32"/>
          <w:szCs w:val="32"/>
          <w:lang w:val="en-US" w:eastAsia="zh"/>
        </w:rPr>
        <w:t>。</w:t>
      </w:r>
      <w:r>
        <w:rPr>
          <w:rFonts w:hint="default" w:ascii="Times New Roman" w:hAnsi="Times New Roman" w:eastAsia="仿宋_GB2312" w:cs="Times New Roman"/>
          <w:b w:val="0"/>
          <w:bCs w:val="0"/>
          <w:color w:val="auto"/>
          <w:spacing w:val="0"/>
          <w:sz w:val="32"/>
          <w:szCs w:val="32"/>
          <w:lang w:val="en-US" w:eastAsia="zh-CN"/>
        </w:rPr>
        <w:t>成立招商引资指挥部，</w:t>
      </w:r>
      <w:r>
        <w:rPr>
          <w:rFonts w:hint="default" w:ascii="Times New Roman" w:hAnsi="Times New Roman" w:eastAsia="仿宋_GB2312" w:cs="Times New Roman"/>
          <w:color w:val="auto"/>
          <w:spacing w:val="0"/>
          <w:sz w:val="32"/>
          <w:szCs w:val="32"/>
          <w:lang w:val="zh-CN" w:eastAsia="zh-CN"/>
        </w:rPr>
        <w:t>围绕</w:t>
      </w:r>
      <w:r>
        <w:rPr>
          <w:rFonts w:hint="default" w:ascii="Times New Roman" w:hAnsi="Times New Roman" w:eastAsia="仿宋_GB2312" w:cs="Times New Roman"/>
          <w:color w:val="auto"/>
          <w:spacing w:val="0"/>
          <w:sz w:val="32"/>
          <w:szCs w:val="32"/>
          <w:lang w:val="en-US" w:eastAsia="zh-CN"/>
        </w:rPr>
        <w:t>新能源综合开发利用等8条产业链，</w:t>
      </w:r>
      <w:r>
        <w:rPr>
          <w:rFonts w:hint="default" w:ascii="Times New Roman" w:hAnsi="Times New Roman" w:eastAsia="仿宋_GB2312" w:cs="Times New Roman"/>
          <w:i w:val="0"/>
          <w:color w:val="auto"/>
          <w:spacing w:val="0"/>
          <w:kern w:val="2"/>
          <w:sz w:val="32"/>
          <w:szCs w:val="32"/>
          <w:lang w:val="en-US" w:eastAsia="zh-CN" w:bidi="ar-SA"/>
        </w:rPr>
        <w:t>开展“引大引强引头部”行动，编制图谱清单，</w:t>
      </w:r>
      <w:r>
        <w:rPr>
          <w:rFonts w:hint="default" w:ascii="Times New Roman" w:hAnsi="Times New Roman" w:eastAsia="仿宋_GB2312" w:cs="Times New Roman"/>
          <w:color w:val="auto"/>
          <w:spacing w:val="0"/>
          <w:sz w:val="32"/>
          <w:szCs w:val="32"/>
          <w:lang w:val="en-US" w:eastAsia="zh-CN"/>
        </w:rPr>
        <w:t>明确招商重点，</w:t>
      </w:r>
      <w:r>
        <w:rPr>
          <w:rFonts w:hint="default" w:ascii="Times New Roman" w:hAnsi="Times New Roman" w:eastAsia="仿宋_GB2312" w:cs="Times New Roman"/>
          <w:color w:val="auto"/>
          <w:spacing w:val="0"/>
          <w:sz w:val="32"/>
          <w:szCs w:val="32"/>
          <w:lang w:val="zh-CN" w:eastAsia="zh-CN"/>
        </w:rPr>
        <w:t>着力提升产业链招商成效，累计</w:t>
      </w:r>
      <w:r>
        <w:rPr>
          <w:rFonts w:hint="default" w:ascii="Times New Roman" w:hAnsi="Times New Roman" w:eastAsia="仿宋_GB2312" w:cs="Times New Roman"/>
          <w:color w:val="auto"/>
          <w:spacing w:val="0"/>
          <w:sz w:val="32"/>
          <w:szCs w:val="32"/>
          <w:lang w:val="en-US" w:eastAsia="zh-CN"/>
        </w:rPr>
        <w:t>开展“走出去”考察33次、“请进来”洽谈129次，对接企业224家，与水发华夏、甘肃陇科科技等34家企业达成合作意向，签订战略合作协议11项</w:t>
      </w:r>
      <w:r>
        <w:rPr>
          <w:rFonts w:hint="default" w:ascii="Times New Roman" w:hAnsi="Times New Roman" w:eastAsia="仿宋_GB2312" w:cs="Times New Roman"/>
          <w:color w:val="auto"/>
          <w:spacing w:val="0"/>
          <w:w w:val="100"/>
          <w:sz w:val="32"/>
          <w:szCs w:val="32"/>
          <w:lang w:val="en-US" w:eastAsia="zh-CN"/>
        </w:rPr>
        <w:t>【签约总投资56.55亿元】</w:t>
      </w:r>
      <w:r>
        <w:rPr>
          <w:rFonts w:hint="default" w:ascii="Times New Roman" w:hAnsi="Times New Roman" w:eastAsia="仿宋_GB2312" w:cs="Times New Roman"/>
          <w:color w:val="auto"/>
          <w:spacing w:val="0"/>
          <w:sz w:val="32"/>
          <w:szCs w:val="32"/>
          <w:lang w:val="en-US" w:eastAsia="zh-CN"/>
        </w:rPr>
        <w:t>，引进中核汇能等一批链主型企业，数字经济科技赋能中心暨智能数字传感器生产线等一批带动型项目在丹落地。聘请“双招双引”大使35名，牵线搭桥吸引重点目标企业来丹考察洽谈</w:t>
      </w:r>
      <w:r>
        <w:rPr>
          <w:rFonts w:hint="default" w:ascii="Times New Roman" w:hAnsi="Times New Roman" w:eastAsia="仿宋_GB2312" w:cs="Times New Roman"/>
          <w:color w:val="auto"/>
          <w:spacing w:val="0"/>
          <w:w w:val="100"/>
          <w:sz w:val="32"/>
          <w:szCs w:val="32"/>
          <w:lang w:val="en-US" w:eastAsia="zh-CN"/>
        </w:rPr>
        <w:t>。</w:t>
      </w:r>
      <w:r>
        <w:rPr>
          <w:rFonts w:hint="default" w:ascii="Times New Roman" w:hAnsi="Times New Roman" w:eastAsia="仿宋_GB2312" w:cs="Times New Roman"/>
          <w:color w:val="auto"/>
          <w:spacing w:val="0"/>
          <w:sz w:val="32"/>
          <w:szCs w:val="32"/>
          <w:lang w:val="en-US" w:eastAsia="zh-CN"/>
        </w:rPr>
        <w:t>拨付招商经费100万元，支持开展驻点招商</w:t>
      </w:r>
      <w:r>
        <w:rPr>
          <w:rFonts w:hint="default" w:ascii="Times New Roman" w:hAnsi="Times New Roman" w:eastAsia="仿宋_GB2312" w:cs="Times New Roman"/>
          <w:b w:val="0"/>
          <w:i w:val="0"/>
          <w:color w:val="auto"/>
          <w:spacing w:val="0"/>
          <w:kern w:val="2"/>
          <w:sz w:val="32"/>
          <w:szCs w:val="32"/>
          <w:lang w:val="en-US" w:eastAsia="zh-CN" w:bidi="ar-SA"/>
        </w:rPr>
        <w:t>。总</w:t>
      </w:r>
      <w:r>
        <w:rPr>
          <w:rFonts w:hint="default" w:ascii="Times New Roman" w:hAnsi="Times New Roman" w:eastAsia="仿宋_GB2312" w:cs="Times New Roman"/>
          <w:color w:val="auto"/>
          <w:spacing w:val="0"/>
          <w:sz w:val="32"/>
          <w:szCs w:val="32"/>
          <w:lang w:val="en-US" w:eastAsia="zh-CN"/>
        </w:rPr>
        <w:t>投资40.51亿元的15项“兰洽会”签约项目全部开工建设。全年新入库招商引资项目41个，总投资69.78亿元，累计落实省外到位资金43.18亿元，同比增长55.15%，完成全年目标任务的122.15%。</w:t>
      </w:r>
    </w:p>
    <w:p>
      <w:pPr>
        <w:pStyle w:val="10"/>
        <w:keepNext w:val="0"/>
        <w:keepLines w:val="0"/>
        <w:pageBreakBefore w:val="0"/>
        <w:widowControl w:val="0"/>
        <w:kinsoku/>
        <w:wordWrap/>
        <w:overflowPunct/>
        <w:topLinePunct w:val="0"/>
        <w:autoSpaceDE/>
        <w:autoSpaceDN/>
        <w:bidi w:val="0"/>
        <w:adjustRightInd/>
        <w:spacing w:line="600" w:lineRule="exact"/>
        <w:ind w:firstLine="643" w:firstLineChars="200"/>
        <w:jc w:val="both"/>
        <w:rPr>
          <w:rFonts w:hint="default" w:ascii="Times New Roman" w:hAnsi="Times New Roman" w:eastAsia="仿宋_GB2312" w:cs="Times New Roman"/>
          <w:color w:val="auto"/>
          <w:spacing w:val="0"/>
          <w:kern w:val="2"/>
          <w:sz w:val="32"/>
          <w:szCs w:val="32"/>
          <w:lang w:val="en-US" w:eastAsia="zh-CN" w:bidi="ar-SA"/>
        </w:rPr>
      </w:pPr>
      <w:r>
        <w:rPr>
          <w:rFonts w:hint="default" w:ascii="Times New Roman" w:hAnsi="Times New Roman" w:eastAsia="楷体_GB2312" w:cs="Times New Roman"/>
          <w:b/>
          <w:bCs/>
          <w:color w:val="auto"/>
          <w:spacing w:val="0"/>
          <w:sz w:val="32"/>
          <w:szCs w:val="32"/>
          <w:lang w:val="en-US" w:eastAsia="zh-CN" w:bidi="ar"/>
        </w:rPr>
        <w:t>（四）营商环境不断优化。</w:t>
      </w:r>
      <w:r>
        <w:rPr>
          <w:rFonts w:hint="default" w:ascii="Times New Roman" w:hAnsi="Times New Roman" w:eastAsia="仿宋_GB2312" w:cs="Times New Roman"/>
          <w:b w:val="0"/>
          <w:color w:val="auto"/>
          <w:spacing w:val="0"/>
          <w:kern w:val="0"/>
          <w:sz w:val="32"/>
          <w:szCs w:val="32"/>
          <w:lang w:val="en-US" w:eastAsia="zh-CN" w:bidi="ar-SA"/>
        </w:rPr>
        <w:t>深入开展“优化营商环境攻坚突破年”行动和对标提升三年行动，印发实施《山丹县优化营商环境攻坚突破年行动方案》等文件，对标指标整改提升目标，明确责任单位，加强监测调度，形成“评价发现短板—提出任务清单—落实整改措施—跟踪评估成效”工作闭环，</w:t>
      </w:r>
      <w:r>
        <w:rPr>
          <w:rFonts w:hint="default" w:ascii="Times New Roman" w:hAnsi="Times New Roman" w:eastAsia="仿宋_GB2312" w:cs="Times New Roman"/>
          <w:color w:val="auto"/>
          <w:spacing w:val="0"/>
          <w:sz w:val="32"/>
          <w:szCs w:val="32"/>
          <w:lang w:val="en-US" w:eastAsia="zh-CN"/>
        </w:rPr>
        <w:t>切实以营商环境大优化促进县域经济大发展</w:t>
      </w:r>
      <w:r>
        <w:rPr>
          <w:rFonts w:hint="default" w:ascii="Times New Roman" w:hAnsi="Times New Roman" w:eastAsia="仿宋_GB2312" w:cs="Times New Roman"/>
          <w:b w:val="0"/>
          <w:color w:val="auto"/>
          <w:spacing w:val="0"/>
          <w:kern w:val="0"/>
          <w:sz w:val="32"/>
          <w:szCs w:val="32"/>
          <w:lang w:val="en-US" w:eastAsia="zh-CN" w:bidi="ar-SA"/>
        </w:rPr>
        <w:t>。</w:t>
      </w:r>
      <w:r>
        <w:rPr>
          <w:rFonts w:hint="default" w:ascii="Times New Roman" w:hAnsi="Times New Roman" w:eastAsia="仿宋_GB2312" w:cs="Times New Roman"/>
          <w:color w:val="auto"/>
          <w:spacing w:val="0"/>
          <w:kern w:val="2"/>
          <w:sz w:val="32"/>
          <w:szCs w:val="32"/>
          <w:lang w:val="en-US" w:eastAsia="zh-CN" w:bidi="ar-SA"/>
        </w:rPr>
        <w:t>制定出台《山丹县推进社会信用体系建设高质量发展打造“诚信山丹”实施方案》，积极推动信用体系建设工作提档升级。严格执行《失信行为纠正后的信用信息修复管理办法（试行）》，对7家失信主体进行了信用修复。至目前，全县上报“双公示”信息2.67万条、“五归集”信息2.45万条、信用宣传信息250篇，归集水、气、暖等特定领域信用信息4.35万条、信用承诺信息2.62万条，完成中小微企业融资监测调查问卷155份。“甘肃信易贷”平台注册企业5651家，发放贷款21.12亿元。</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hint="default" w:ascii="Times New Roman" w:hAnsi="Times New Roman" w:eastAsia="楷体_GB2312" w:cs="Times New Roman"/>
          <w:b/>
          <w:bCs/>
          <w:color w:val="auto"/>
          <w:spacing w:val="0"/>
          <w:kern w:val="2"/>
          <w:sz w:val="32"/>
          <w:szCs w:val="32"/>
          <w:lang w:val="en-US" w:eastAsia="zh-CN" w:bidi="ar"/>
        </w:rPr>
      </w:pPr>
      <w:r>
        <w:rPr>
          <w:rFonts w:hint="default" w:ascii="Times New Roman" w:hAnsi="Times New Roman" w:eastAsia="楷体_GB2312" w:cs="Times New Roman"/>
          <w:b/>
          <w:bCs/>
          <w:color w:val="auto"/>
          <w:spacing w:val="0"/>
          <w:kern w:val="2"/>
          <w:sz w:val="32"/>
          <w:szCs w:val="32"/>
          <w:lang w:val="en-US" w:eastAsia="zh-CN" w:bidi="ar"/>
        </w:rPr>
        <w:t>（五）绿色发展稳步推进。</w:t>
      </w:r>
      <w:r>
        <w:rPr>
          <w:rFonts w:hint="default" w:ascii="Times New Roman" w:hAnsi="Times New Roman" w:eastAsia="仿宋_GB2312" w:cs="Times New Roman"/>
          <w:color w:val="auto"/>
          <w:spacing w:val="0"/>
          <w:sz w:val="32"/>
          <w:szCs w:val="32"/>
          <w:lang w:val="en-US" w:eastAsia="zh-CN"/>
        </w:rPr>
        <w:t>全力</w:t>
      </w:r>
      <w:r>
        <w:rPr>
          <w:rFonts w:hint="default" w:ascii="Times New Roman" w:hAnsi="Times New Roman" w:eastAsia="仿宋_GB2312" w:cs="Times New Roman"/>
          <w:color w:val="auto"/>
          <w:spacing w:val="0"/>
          <w:sz w:val="32"/>
          <w:szCs w:val="32"/>
        </w:rPr>
        <w:t>打造新能源综合开发利用基地</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lang w:val="en-US" w:eastAsia="zh-CN"/>
        </w:rPr>
        <w:t>东乐北滩500兆瓦集中式储能电站等一批重点项目落地实施，“十四五”第二批40万千瓦光伏发电项目即将建成并网，</w:t>
      </w:r>
      <w:r>
        <w:rPr>
          <w:rFonts w:hint="default" w:ascii="Times New Roman" w:hAnsi="Times New Roman" w:eastAsia="仿宋_GB2312" w:cs="Times New Roman"/>
          <w:b w:val="0"/>
          <w:bCs w:val="0"/>
          <w:i w:val="0"/>
          <w:iCs w:val="0"/>
          <w:color w:val="auto"/>
          <w:spacing w:val="0"/>
          <w:sz w:val="32"/>
          <w:szCs w:val="32"/>
          <w:lang w:val="en-US" w:eastAsia="zh-CN"/>
        </w:rPr>
        <w:t>届时全县新能源装机容量达到948兆瓦。围绕生态产业发展方向、路径、方法和保障机制，持续谋划培育产业项目，加强重大带动性工程调度，推动十大生态产业加快发展。制发《山丹县2023年创建国家“零碳”城市工作计划》，谋划实施集中供热4×84MW锅炉烟气超低排放改造等项目，协调推进工业、农业、建筑、交通等重点领域、重点行业低碳转型，“零碳”城市创建取得积极成效。成立生态产品价值实现机制领导小组，制发《山丹县建立健全生态产品价值实现机制试点实施方案（2023—2025年）》及两批重点任务清单，</w:t>
      </w:r>
      <w:r>
        <w:rPr>
          <w:rFonts w:hint="default" w:ascii="Times New Roman" w:hAnsi="Times New Roman" w:eastAsia="仿宋_GB2312" w:cs="Times New Roman"/>
          <w:color w:val="auto"/>
          <w:spacing w:val="0"/>
          <w:sz w:val="32"/>
          <w:szCs w:val="32"/>
          <w:lang w:eastAsia="zh-CN"/>
        </w:rPr>
        <w:t>稳步推进调查监测、价值核算等工作，探索拓宽生态产品价值实现路径。</w:t>
      </w:r>
      <w:r>
        <w:rPr>
          <w:rFonts w:hint="default" w:ascii="Times New Roman" w:hAnsi="Times New Roman" w:eastAsia="仿宋_GB2312" w:cs="Times New Roman"/>
          <w:color w:val="auto"/>
          <w:spacing w:val="0"/>
          <w:sz w:val="32"/>
          <w:szCs w:val="32"/>
          <w:lang w:val="en-US" w:eastAsia="zh-CN"/>
        </w:rPr>
        <w:t>严格落实能源消费总量和强度双控制度，积极推动能源清洁低碳安全高效利用，倒逼产业结构、能源结构加快调整。前三季度，全县能源消费总量70.5万吨标准煤，单位GDP能耗1.2919吨标准煤/万元，同比下降4.63%</w:t>
      </w:r>
      <w:r>
        <w:rPr>
          <w:rFonts w:hint="default" w:ascii="Times New Roman" w:hAnsi="Times New Roman" w:eastAsia="仿宋_GB2312" w:cs="Times New Roman"/>
          <w:color w:val="auto"/>
          <w:spacing w:val="0"/>
          <w:kern w:val="2"/>
          <w:sz w:val="32"/>
          <w:szCs w:val="32"/>
          <w:lang w:val="en-US" w:eastAsia="zh-CN" w:bidi="ar-SA"/>
        </w:rPr>
        <w:t>。</w:t>
      </w:r>
    </w:p>
    <w:p>
      <w:pPr>
        <w:pStyle w:val="4"/>
        <w:keepNext w:val="0"/>
        <w:keepLines w:val="0"/>
        <w:pageBreakBefore w:val="0"/>
        <w:widowControl w:val="0"/>
        <w:suppressLineNumbers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bCs/>
          <w:color w:val="auto"/>
          <w:spacing w:val="-6"/>
          <w:kern w:val="2"/>
          <w:sz w:val="32"/>
          <w:szCs w:val="32"/>
          <w:lang w:val="en-US" w:eastAsia="zh-CN" w:bidi="ar"/>
        </w:rPr>
      </w:pPr>
      <w:r>
        <w:rPr>
          <w:rFonts w:hint="default" w:ascii="Times New Roman" w:hAnsi="Times New Roman" w:eastAsia="楷体_GB2312" w:cs="Times New Roman"/>
          <w:b/>
          <w:bCs/>
          <w:color w:val="auto"/>
          <w:spacing w:val="0"/>
          <w:kern w:val="2"/>
          <w:sz w:val="32"/>
          <w:szCs w:val="32"/>
          <w:lang w:val="en-US" w:eastAsia="zh-CN" w:bidi="ar"/>
        </w:rPr>
        <w:t>（六）国防动员高位推进</w:t>
      </w:r>
      <w:r>
        <w:rPr>
          <w:rFonts w:hint="default" w:ascii="Times New Roman" w:hAnsi="Times New Roman" w:eastAsia="楷体_GB2312" w:cs="Times New Roman"/>
          <w:b/>
          <w:bCs/>
          <w:color w:val="auto"/>
          <w:spacing w:val="0"/>
          <w:kern w:val="2"/>
          <w:sz w:val="32"/>
          <w:szCs w:val="32"/>
          <w:lang w:val="en-US" w:eastAsia="zh-CN" w:bidi="ar-SA"/>
        </w:rPr>
        <w:t>。</w:t>
      </w:r>
      <w:r>
        <w:rPr>
          <w:rFonts w:hint="default" w:ascii="Times New Roman" w:hAnsi="Times New Roman" w:eastAsia="仿宋_GB2312" w:cs="Times New Roman"/>
          <w:color w:val="auto"/>
          <w:spacing w:val="0"/>
          <w:kern w:val="2"/>
          <w:sz w:val="32"/>
          <w:szCs w:val="32"/>
          <w:lang w:val="en-US" w:eastAsia="zh-CN" w:bidi="ar-SA"/>
        </w:rPr>
        <w:t>深入贯彻落实国家国防动员委员会第一次全体会议和省、市国防动员委员会第一次会议精神部署要求，及时调整完善我县国防动员组织构架，按时完成职能划分、人员转隶、资产移交等相关工作，实现国防动员工作按新体制运行。编制《人防防空计划方案》，制发《山丹县落实人民防空战备建设任务实施方案》，配合市国防动员办公室开展了人防信息化专项规划调研，完成九个人防专业队220人的在岗整组训练。积极开展“防范灾害风险、护航高质量发展”为主题的防灾减灾和人防法律法规、自救互救等宣传活动，有效提升人民群众自我防护意识。</w:t>
      </w:r>
      <w:r>
        <w:rPr>
          <w:rFonts w:hint="default" w:ascii="Times New Roman" w:hAnsi="Times New Roman" w:eastAsia="仿宋_GB2312" w:cs="Times New Roman"/>
          <w:color w:val="auto"/>
          <w:spacing w:val="-6"/>
          <w:kern w:val="2"/>
          <w:sz w:val="32"/>
          <w:szCs w:val="32"/>
          <w:lang w:val="en-US" w:eastAsia="zh-CN" w:bidi="ar-SA"/>
        </w:rPr>
        <w:t>持续开展国防动员工作动态宣传，及时报送各类信息，圆满完成市国动办下达的宣传报道任务。</w:t>
      </w:r>
    </w:p>
    <w:p>
      <w:pPr>
        <w:pStyle w:val="4"/>
        <w:keepNext w:val="0"/>
        <w:keepLines w:val="0"/>
        <w:pageBreakBefore w:val="0"/>
        <w:widowControl w:val="0"/>
        <w:suppressLineNumbers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color w:val="auto"/>
          <w:spacing w:val="-6"/>
          <w:sz w:val="32"/>
          <w:szCs w:val="32"/>
          <w:lang w:val="en-US" w:eastAsia="zh-CN"/>
        </w:rPr>
      </w:pPr>
      <w:r>
        <w:rPr>
          <w:rFonts w:hint="default" w:ascii="Times New Roman" w:hAnsi="Times New Roman" w:eastAsia="楷体_GB2312" w:cs="Times New Roman"/>
          <w:b/>
          <w:bCs/>
          <w:color w:val="auto"/>
          <w:spacing w:val="0"/>
          <w:kern w:val="2"/>
          <w:sz w:val="32"/>
          <w:szCs w:val="32"/>
          <w:lang w:val="en-US" w:eastAsia="zh-CN" w:bidi="ar"/>
        </w:rPr>
        <w:t>（七）保供稳价有力有效。</w:t>
      </w:r>
      <w:r>
        <w:rPr>
          <w:rFonts w:hint="default" w:ascii="Times New Roman" w:hAnsi="Times New Roman" w:eastAsia="仿宋_GB2312" w:cs="Times New Roman"/>
          <w:color w:val="auto"/>
          <w:spacing w:val="0"/>
          <w:sz w:val="32"/>
          <w:szCs w:val="32"/>
          <w:lang w:val="en-US" w:eastAsia="zh-CN"/>
        </w:rPr>
        <w:t>全面落实能源保障任务，聚力打造河西煤炭生产集散基地，</w:t>
      </w:r>
      <w:r>
        <w:rPr>
          <w:rFonts w:hint="default" w:ascii="Times New Roman" w:hAnsi="Times New Roman" w:eastAsia="仿宋_GB2312" w:cs="Times New Roman"/>
          <w:b w:val="0"/>
          <w:bCs w:val="0"/>
          <w:i w:val="0"/>
          <w:iCs w:val="0"/>
          <w:caps w:val="0"/>
          <w:color w:val="auto"/>
          <w:spacing w:val="0"/>
          <w:w w:val="100"/>
          <w:kern w:val="0"/>
          <w:sz w:val="32"/>
          <w:szCs w:val="32"/>
          <w:lang w:val="en-US" w:eastAsia="zh-CN" w:bidi="ar"/>
        </w:rPr>
        <w:t>花草滩煤矿180万吨/年扩能改造项目通过核准，进入正常生产阶段；东水泉煤矿90万吨/年升级改造项目联合试运转通过验收，转为保供煤矿；新唐矿业30万吨/年提升改造项目即将进入联合试运转，</w:t>
      </w:r>
      <w:r>
        <w:rPr>
          <w:rFonts w:hint="default" w:ascii="Times New Roman" w:hAnsi="Times New Roman" w:eastAsia="仿宋_GB2312" w:cs="Times New Roman"/>
          <w:color w:val="auto"/>
          <w:spacing w:val="0"/>
          <w:sz w:val="32"/>
          <w:szCs w:val="32"/>
          <w:lang w:val="en-US" w:eastAsia="zh-CN"/>
        </w:rPr>
        <w:t>青阳煤矿开发、金湾煤矿原煤扩能提升等项目</w:t>
      </w:r>
      <w:r>
        <w:rPr>
          <w:rFonts w:hint="default" w:ascii="Times New Roman" w:hAnsi="Times New Roman" w:eastAsia="仿宋_GB2312" w:cs="Times New Roman"/>
          <w:b w:val="0"/>
          <w:bCs w:val="0"/>
          <w:i w:val="0"/>
          <w:iCs w:val="0"/>
          <w:caps w:val="0"/>
          <w:color w:val="auto"/>
          <w:spacing w:val="0"/>
          <w:w w:val="100"/>
          <w:kern w:val="0"/>
          <w:sz w:val="32"/>
          <w:szCs w:val="32"/>
          <w:lang w:val="en-US" w:eastAsia="zh-CN" w:bidi="ar"/>
        </w:rPr>
        <w:t>正在有序推进，</w:t>
      </w:r>
      <w:r>
        <w:rPr>
          <w:rFonts w:hint="default" w:ascii="Times New Roman" w:hAnsi="Times New Roman" w:eastAsia="仿宋_GB2312" w:cs="Times New Roman"/>
          <w:color w:val="auto"/>
          <w:spacing w:val="0"/>
          <w:sz w:val="32"/>
          <w:szCs w:val="32"/>
          <w:lang w:val="en-US" w:eastAsia="zh-CN"/>
        </w:rPr>
        <w:t>全县煤炭产能达到330万吨/年，前十个月全县完成电煤保供任务24万吨。天然气四线山丹段项目加快实施，</w:t>
      </w:r>
      <w:r>
        <w:rPr>
          <w:rFonts w:hint="default" w:ascii="Times New Roman" w:hAnsi="Times New Roman" w:eastAsia="仿宋_GB2312" w:cs="Times New Roman"/>
          <w:b w:val="0"/>
          <w:bCs w:val="0"/>
          <w:i w:val="0"/>
          <w:iCs w:val="0"/>
          <w:caps w:val="0"/>
          <w:color w:val="auto"/>
          <w:spacing w:val="0"/>
          <w:w w:val="100"/>
          <w:kern w:val="0"/>
          <w:sz w:val="32"/>
          <w:szCs w:val="32"/>
          <w:lang w:val="en-US" w:eastAsia="zh-CN" w:bidi="ar"/>
        </w:rPr>
        <w:t>张掖LNG储备中心二期开工建设</w:t>
      </w:r>
      <w:r>
        <w:rPr>
          <w:rFonts w:hint="default" w:ascii="Times New Roman" w:hAnsi="Times New Roman" w:eastAsia="仿宋_GB2312" w:cs="Times New Roman"/>
          <w:color w:val="auto"/>
          <w:spacing w:val="0"/>
          <w:sz w:val="32"/>
          <w:szCs w:val="32"/>
          <w:lang w:val="en-US" w:eastAsia="zh-CN"/>
        </w:rPr>
        <w:t>。</w:t>
      </w:r>
      <w:r>
        <w:rPr>
          <w:rFonts w:hint="default" w:ascii="Times New Roman" w:hAnsi="Times New Roman" w:eastAsia="仿宋_GB2312" w:cs="Times New Roman"/>
          <w:i w:val="0"/>
          <w:color w:val="auto"/>
          <w:spacing w:val="0"/>
          <w:kern w:val="2"/>
          <w:sz w:val="32"/>
          <w:szCs w:val="32"/>
          <w:lang w:val="en-US" w:eastAsia="zh-CN" w:bidi="ar-SA"/>
        </w:rPr>
        <w:t>严格落实粮食安全责任制，</w:t>
      </w:r>
      <w:r>
        <w:rPr>
          <w:rFonts w:hint="default" w:ascii="Times New Roman" w:hAnsi="Times New Roman" w:eastAsia="仿宋_GB2312" w:cs="Times New Roman"/>
          <w:color w:val="auto"/>
          <w:spacing w:val="0"/>
          <w:sz w:val="32"/>
          <w:szCs w:val="32"/>
          <w:lang w:val="en-US" w:eastAsia="zh-CN"/>
        </w:rPr>
        <w:t>研究制定《山丹县改革完善体制机制加强战略和应急物资储备安全管理实施方案》，</w:t>
      </w:r>
      <w:r>
        <w:rPr>
          <w:rFonts w:hint="default" w:ascii="Times New Roman" w:hAnsi="Times New Roman" w:eastAsia="仿宋_GB2312" w:cs="Times New Roman"/>
          <w:i w:val="0"/>
          <w:color w:val="auto"/>
          <w:spacing w:val="0"/>
          <w:kern w:val="2"/>
          <w:sz w:val="32"/>
          <w:szCs w:val="32"/>
          <w:lang w:val="en-US" w:eastAsia="zh-CN" w:bidi="ar-SA"/>
        </w:rPr>
        <w:t>全县各级政策性储备粮油达到12101吨。</w:t>
      </w:r>
      <w:r>
        <w:rPr>
          <w:rFonts w:hint="default" w:ascii="Times New Roman" w:hAnsi="Times New Roman" w:eastAsia="仿宋_GB2312" w:cs="Times New Roman"/>
          <w:color w:val="auto"/>
          <w:spacing w:val="0"/>
          <w:sz w:val="32"/>
          <w:szCs w:val="32"/>
          <w:lang w:val="en-US" w:eastAsia="zh-CN"/>
        </w:rPr>
        <w:t>完成2000吨省级储备粮轮换入库工作。储备肉类30吨、冬春蔬菜250吨、</w:t>
      </w:r>
      <w:r>
        <w:rPr>
          <w:rFonts w:hint="default" w:ascii="Times New Roman" w:hAnsi="Times New Roman" w:eastAsia="仿宋_GB2312" w:cs="Times New Roman"/>
          <w:color w:val="auto"/>
          <w:spacing w:val="-6"/>
          <w:sz w:val="32"/>
          <w:szCs w:val="32"/>
          <w:lang w:val="en-US" w:eastAsia="zh-CN"/>
        </w:rPr>
        <w:t>各类应急救灾物资1.59万件。协调粮食收购专项支持贷款5000万元，收购各类粮食6.2万吨。强化价格监测预警，每月通报主要民生商品价格变动情况，保障重要民生商品有效供给和价格水平总体稳定。</w:t>
      </w:r>
      <w:r>
        <w:rPr>
          <w:rFonts w:hint="default" w:ascii="Times New Roman" w:hAnsi="Times New Roman" w:eastAsia="仿宋_GB2312" w:cs="Times New Roman"/>
          <w:color w:val="auto"/>
          <w:spacing w:val="-6"/>
          <w:kern w:val="0"/>
          <w:sz w:val="32"/>
          <w:szCs w:val="32"/>
        </w:rPr>
        <w:t>制定</w:t>
      </w:r>
      <w:r>
        <w:rPr>
          <w:rFonts w:hint="default" w:ascii="Times New Roman" w:hAnsi="Times New Roman" w:eastAsia="仿宋_GB2312" w:cs="Times New Roman"/>
          <w:color w:val="auto"/>
          <w:spacing w:val="-6"/>
          <w:sz w:val="32"/>
          <w:szCs w:val="32"/>
        </w:rPr>
        <w:t>管道天然气销售价格，开展涉企违规收费专项整治</w:t>
      </w:r>
      <w:r>
        <w:rPr>
          <w:rFonts w:hint="default" w:ascii="Times New Roman" w:hAnsi="Times New Roman" w:eastAsia="仿宋_GB2312" w:cs="Times New Roman"/>
          <w:color w:val="auto"/>
          <w:spacing w:val="-6"/>
          <w:sz w:val="32"/>
          <w:szCs w:val="32"/>
          <w:lang w:eastAsia="zh-CN"/>
        </w:rPr>
        <w:t>行</w:t>
      </w:r>
      <w:r>
        <w:rPr>
          <w:rFonts w:hint="default" w:ascii="Times New Roman" w:hAnsi="Times New Roman" w:eastAsia="仿宋_GB2312" w:cs="Times New Roman"/>
          <w:color w:val="auto"/>
          <w:spacing w:val="-6"/>
          <w:sz w:val="32"/>
          <w:szCs w:val="32"/>
        </w:rPr>
        <w:t>动，完成种植油菜籽、规模啤酒大麦、规模养羊农产品调查工作</w:t>
      </w:r>
      <w:r>
        <w:rPr>
          <w:rFonts w:hint="default" w:ascii="Times New Roman" w:hAnsi="Times New Roman" w:eastAsia="仿宋_GB2312" w:cs="Times New Roman"/>
          <w:color w:val="auto"/>
          <w:spacing w:val="-6"/>
          <w:sz w:val="32"/>
          <w:szCs w:val="32"/>
          <w:lang w:eastAsia="zh-CN"/>
        </w:rPr>
        <w:t>，</w:t>
      </w:r>
      <w:r>
        <w:rPr>
          <w:rFonts w:hint="default" w:ascii="Times New Roman" w:hAnsi="Times New Roman" w:eastAsia="仿宋_GB2312" w:cs="Times New Roman"/>
          <w:color w:val="auto"/>
          <w:spacing w:val="-6"/>
          <w:sz w:val="32"/>
          <w:szCs w:val="32"/>
        </w:rPr>
        <w:t>办理价格认定案件20件，认定金额73万元。水利工程供水、农村人畜饮水和城市自来水成本监审</w:t>
      </w:r>
      <w:r>
        <w:rPr>
          <w:rFonts w:hint="default" w:ascii="Times New Roman" w:hAnsi="Times New Roman" w:eastAsia="仿宋_GB2312" w:cs="Times New Roman"/>
          <w:color w:val="auto"/>
          <w:spacing w:val="-6"/>
          <w:sz w:val="32"/>
          <w:szCs w:val="32"/>
          <w:lang w:eastAsia="zh-CN"/>
        </w:rPr>
        <w:t>工作加快推进，</w:t>
      </w:r>
      <w:r>
        <w:rPr>
          <w:rFonts w:hint="default" w:ascii="Times New Roman" w:hAnsi="Times New Roman" w:eastAsia="仿宋_GB2312" w:cs="Times New Roman"/>
          <w:color w:val="auto"/>
          <w:spacing w:val="-6"/>
          <w:sz w:val="32"/>
          <w:szCs w:val="32"/>
          <w:lang w:val="en-US" w:eastAsia="zh-CN"/>
        </w:rPr>
        <w:t>价格争议纠纷调解工作经验在全省推广。</w:t>
      </w:r>
    </w:p>
    <w:p>
      <w:pPr>
        <w:spacing w:line="56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四、存在的问题</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一是预算编制不够精准。由于部门预算统筹协调机制尚未健全，人员调动调整，预算与决算相差大。二是内控制度需进一步完善。</w:t>
      </w:r>
    </w:p>
    <w:p>
      <w:pPr>
        <w:spacing w:line="56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五、下一步改进工作的措施</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一是科学合理编制预算，严格执行预算。加强预算编制的前瞻性，按照新《预算法》及其实施条例的相关规定，按政策规定及本部门的发展规划，结合上一年度预算执行情况和本年度预算收支变化因素，科学、合理地编制本年预算草案，避免项目支出与基本支出划分不准或预算支出与实际执行出现较大偏差的情况，执行中确需调剂预算的，按规定程序报经批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二是完善管理制度，进一步加强资产管理。</w:t>
      </w:r>
      <w:bookmarkStart w:id="0" w:name="_GoBack"/>
      <w:bookmarkEnd w:id="0"/>
      <w:r>
        <w:rPr>
          <w:rFonts w:hint="eastAsia" w:ascii="仿宋_GB2312" w:eastAsia="仿宋_GB2312"/>
          <w:sz w:val="32"/>
          <w:szCs w:val="32"/>
          <w:lang w:val="en-US" w:eastAsia="zh-CN"/>
        </w:rPr>
        <w:t>建立本部门“三公经费”等公务支出管理制度及厉行节约制度，加强经费审批和控制，规范支出标准与范围，并严格执行。严格按照《固定资产管理办法》的规定加强固定资产管理，及时登记、更新台账，加强资产卡片管理，年终前对各类实物资产进行全面盘点，确保账账、账实相符。</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三是制定和完善基本支出、项目支出等各项支出标准，严格按项目和进度执行预算，增强预算的约束力和严肃性。同时落实好预算执行分析，及时了解预算执行差异，合理调整、纠正预算执行偏差，切实提高部门预算收支管理水平。</w:t>
      </w:r>
    </w:p>
    <w:p>
      <w:pPr>
        <w:spacing w:line="56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六、意见建议</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年初预算在上一年度编制上报，对次年经费的测算不能完整反映，且县财政在年初批复预算时是根据县级财力安排，出现预算编制不完整、经费预算不足部分通过调整来增加预算、预算执行结果与年初预算有较大偏差等现象。</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根据存在的问题，我单位将进一步加强预算编制的前瞻性，按照新《预算法》及其实施条例的相关规定，结合本单位的发展规划、上一年度预算执行情况和本年度预算收支变化因素，尽可能地科学、合理编制本年预算草案，避免年初预算与实际执行出现较大偏差的情况；加强预算执行管理，执行中确需调剂预算的，按规定程序报经批准。加强预算绩效管理机制，不断完善内部控制，在努力实现审计监督全覆盖的同时，提高财政资金使用效益。</w:t>
      </w:r>
    </w:p>
    <w:p>
      <w:pPr>
        <w:spacing w:line="560" w:lineRule="exact"/>
        <w:ind w:firstLine="640" w:firstLineChars="200"/>
        <w:rPr>
          <w:rFonts w:hint="eastAsia" w:ascii="仿宋_GB2312" w:eastAsia="仿宋_GB2312"/>
          <w:sz w:val="32"/>
          <w:szCs w:val="32"/>
          <w:lang w:val="en-US" w:eastAsia="zh-CN"/>
        </w:rPr>
      </w:pPr>
    </w:p>
    <w:p>
      <w:pPr>
        <w:spacing w:line="560" w:lineRule="exact"/>
        <w:ind w:firstLine="640" w:firstLineChars="200"/>
        <w:rPr>
          <w:rFonts w:hint="eastAsia" w:ascii="仿宋_GB2312" w:eastAsia="仿宋_GB2312"/>
          <w:sz w:val="32"/>
          <w:szCs w:val="32"/>
          <w:lang w:val="en-US" w:eastAsia="zh-CN"/>
        </w:rPr>
      </w:pPr>
    </w:p>
    <w:p>
      <w:pPr>
        <w:spacing w:line="560" w:lineRule="exact"/>
        <w:ind w:firstLine="640" w:firstLineChars="200"/>
        <w:rPr>
          <w:rFonts w:hint="eastAsia" w:ascii="仿宋_GB2312" w:eastAsia="仿宋_GB2312"/>
          <w:sz w:val="32"/>
          <w:szCs w:val="32"/>
          <w:lang w:val="en-US" w:eastAsia="zh-CN"/>
        </w:rPr>
      </w:pPr>
    </w:p>
    <w:p>
      <w:pPr>
        <w:spacing w:line="560" w:lineRule="exact"/>
        <w:ind w:firstLine="640" w:firstLineChars="200"/>
        <w:rPr>
          <w:rFonts w:hint="eastAsia" w:ascii="仿宋_GB2312" w:eastAsia="仿宋_GB2312"/>
          <w:sz w:val="32"/>
          <w:szCs w:val="32"/>
          <w:lang w:val="en-US" w:eastAsia="zh-CN"/>
        </w:rPr>
      </w:pPr>
    </w:p>
    <w:p>
      <w:pPr>
        <w:spacing w:line="560" w:lineRule="exact"/>
        <w:ind w:firstLine="640" w:firstLineChars="200"/>
        <w:rPr>
          <w:rFonts w:hint="eastAsia" w:ascii="仿宋_GB2312" w:eastAsia="仿宋_GB2312"/>
          <w:sz w:val="32"/>
          <w:szCs w:val="32"/>
          <w:lang w:val="en-US" w:eastAsia="zh-CN"/>
        </w:rPr>
      </w:pPr>
    </w:p>
    <w:p>
      <w:pPr>
        <w:spacing w:line="560" w:lineRule="exact"/>
        <w:ind w:firstLine="5120" w:firstLineChars="1600"/>
        <w:rPr>
          <w:rFonts w:hint="default" w:ascii="仿宋_GB2312" w:eastAsia="仿宋_GB2312"/>
          <w:sz w:val="32"/>
          <w:szCs w:val="32"/>
          <w:lang w:val="en-US" w:eastAsia="zh-CN"/>
        </w:rPr>
      </w:pP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大标宋简体">
    <w:altName w:val="微软雅黑"/>
    <w:panose1 w:val="02010601030101010101"/>
    <w:charset w:val="86"/>
    <w:family w:val="script"/>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WFlYjA4ZDgzYWM3ZWI4MmUyMzcwZDA2NjRjMDA5ZDkifQ=="/>
  </w:docVars>
  <w:rsids>
    <w:rsidRoot w:val="42C71578"/>
    <w:rsid w:val="00194BCB"/>
    <w:rsid w:val="004857A1"/>
    <w:rsid w:val="007D09B9"/>
    <w:rsid w:val="00897FD8"/>
    <w:rsid w:val="00AC4864"/>
    <w:rsid w:val="00CB2C4F"/>
    <w:rsid w:val="00E04AF3"/>
    <w:rsid w:val="00ED4999"/>
    <w:rsid w:val="00EE167A"/>
    <w:rsid w:val="0B4F11A1"/>
    <w:rsid w:val="14D17667"/>
    <w:rsid w:val="2CEB6204"/>
    <w:rsid w:val="422A181A"/>
    <w:rsid w:val="42C71578"/>
    <w:rsid w:val="614760CF"/>
    <w:rsid w:val="63B109BE"/>
    <w:rsid w:val="67F56D1B"/>
    <w:rsid w:val="756D5737"/>
    <w:rsid w:val="79443C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8">
    <w:name w:val="页眉 Char"/>
    <w:basedOn w:val="6"/>
    <w:link w:val="3"/>
    <w:qFormat/>
    <w:uiPriority w:val="0"/>
    <w:rPr>
      <w:rFonts w:ascii="Calibri"/>
      <w:kern w:val="2"/>
      <w:sz w:val="18"/>
      <w:szCs w:val="18"/>
    </w:rPr>
  </w:style>
  <w:style w:type="character" w:customStyle="1" w:styleId="9">
    <w:name w:val="页脚 Char"/>
    <w:basedOn w:val="6"/>
    <w:link w:val="2"/>
    <w:qFormat/>
    <w:uiPriority w:val="0"/>
    <w:rPr>
      <w:rFonts w:ascii="Calibri"/>
      <w:kern w:val="2"/>
      <w:sz w:val="18"/>
      <w:szCs w:val="18"/>
    </w:rPr>
  </w:style>
  <w:style w:type="paragraph" w:customStyle="1" w:styleId="10">
    <w:name w:val="Index6"/>
    <w:basedOn w:val="1"/>
    <w:next w:val="1"/>
    <w:qFormat/>
    <w:uiPriority w:val="0"/>
    <w:pPr>
      <w:snapToGrid w:val="0"/>
      <w:spacing w:line="560" w:lineRule="exact"/>
      <w:textAlignment w:val="baseline"/>
    </w:pPr>
    <w:rPr>
      <w:rFonts w:ascii="方正小标宋简体" w:hAnsi="方正大标宋简体" w:eastAsia="方正小标宋简体"/>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4512</Words>
  <Characters>4681</Characters>
  <Lines>3</Lines>
  <Paragraphs>1</Paragraphs>
  <TotalTime>1</TotalTime>
  <ScaleCrop>false</ScaleCrop>
  <LinksUpToDate>false</LinksUpToDate>
  <CharactersWithSpaces>4682</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2018-03-23T02:40:00Z</dcterms:created>
  <dc:creator>散步的鱼</dc:creator>
  <cp:lastModifiedBy>Administrator</cp:lastModifiedBy>
  <cp:lastPrinted>2024-01-05T08:09:00Z</cp:lastPrinted>
  <dcterms:modified xsi:type="dcterms:W3CDTF">2024-08-19T02:14:04Z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36295EAD7CFA4DA5B1AA062D6DF88AE1</vt:lpwstr>
  </property>
</Properties>
</file>