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260253">
      <w:pPr>
        <w:spacing w:line="560" w:lineRule="exact"/>
        <w:rPr>
          <w:rFonts w:ascii="黑体" w:hAnsi="黑体" w:eastAsia="黑体" w:cs="黑体"/>
          <w:sz w:val="32"/>
          <w:szCs w:val="32"/>
        </w:rPr>
      </w:pPr>
      <w:r>
        <w:rPr>
          <w:rFonts w:hint="eastAsia" w:ascii="黑体" w:hAnsi="黑体" w:eastAsia="黑体" w:cs="黑体"/>
          <w:sz w:val="32"/>
          <w:szCs w:val="32"/>
        </w:rPr>
        <w:t>附件</w:t>
      </w:r>
    </w:p>
    <w:p w14:paraId="70361374">
      <w:pPr>
        <w:spacing w:line="560" w:lineRule="exact"/>
        <w:jc w:val="center"/>
        <w:rPr>
          <w:rFonts w:ascii="方正小标宋简体" w:hAnsi="方正小标宋简体" w:eastAsia="方正小标宋简体" w:cs="方正小标宋简体"/>
          <w:spacing w:val="1"/>
          <w:sz w:val="44"/>
          <w:szCs w:val="44"/>
        </w:rPr>
      </w:pPr>
      <w:r>
        <w:rPr>
          <w:rFonts w:hint="eastAsia" w:ascii="方正小标宋简体" w:hAnsi="方正小标宋简体" w:eastAsia="方正小标宋简体" w:cs="方正小标宋简体"/>
          <w:spacing w:val="1"/>
          <w:sz w:val="44"/>
          <w:szCs w:val="44"/>
        </w:rPr>
        <w:t>行政执法事项目录清单（行政</w:t>
      </w:r>
      <w:r>
        <w:rPr>
          <w:rFonts w:hint="eastAsia" w:ascii="方正小标宋简体" w:hAnsi="方正小标宋简体" w:eastAsia="方正小标宋简体" w:cs="方正小标宋简体"/>
          <w:spacing w:val="1"/>
          <w:sz w:val="44"/>
          <w:szCs w:val="44"/>
          <w:lang w:eastAsia="zh-CN"/>
        </w:rPr>
        <w:t>强制</w:t>
      </w:r>
      <w:r>
        <w:rPr>
          <w:rFonts w:hint="eastAsia" w:ascii="方正小标宋简体" w:hAnsi="方正小标宋简体" w:eastAsia="方正小标宋简体" w:cs="方正小标宋简体"/>
          <w:spacing w:val="1"/>
          <w:sz w:val="44"/>
          <w:szCs w:val="44"/>
        </w:rPr>
        <w:t>）</w:t>
      </w:r>
    </w:p>
    <w:tbl>
      <w:tblPr>
        <w:tblStyle w:val="7"/>
        <w:tblW w:w="141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
        <w:gridCol w:w="868"/>
        <w:gridCol w:w="967"/>
        <w:gridCol w:w="1165"/>
        <w:gridCol w:w="1046"/>
        <w:gridCol w:w="1066"/>
        <w:gridCol w:w="1993"/>
        <w:gridCol w:w="1165"/>
        <w:gridCol w:w="1342"/>
        <w:gridCol w:w="1204"/>
        <w:gridCol w:w="2072"/>
        <w:gridCol w:w="809"/>
      </w:tblGrid>
      <w:tr w14:paraId="12820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453" w:type="dxa"/>
            <w:vMerge w:val="restart"/>
            <w:shd w:val="clear" w:color="auto" w:fill="auto"/>
            <w:vAlign w:val="center"/>
          </w:tcPr>
          <w:p w14:paraId="572F4568">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序号</w:t>
            </w:r>
          </w:p>
        </w:tc>
        <w:tc>
          <w:tcPr>
            <w:tcW w:w="868" w:type="dxa"/>
            <w:vMerge w:val="restart"/>
            <w:shd w:val="clear" w:color="auto" w:fill="auto"/>
            <w:vAlign w:val="center"/>
          </w:tcPr>
          <w:p w14:paraId="10A2EACE">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1"/>
                <w:sz w:val="20"/>
                <w:szCs w:val="20"/>
              </w:rPr>
              <w:t>执法事项名称</w:t>
            </w:r>
          </w:p>
        </w:tc>
        <w:tc>
          <w:tcPr>
            <w:tcW w:w="967" w:type="dxa"/>
            <w:vMerge w:val="restart"/>
            <w:shd w:val="clear" w:color="auto" w:fill="auto"/>
            <w:vAlign w:val="center"/>
          </w:tcPr>
          <w:p w14:paraId="24D73CFD">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1"/>
                <w:sz w:val="20"/>
                <w:szCs w:val="20"/>
              </w:rPr>
              <w:t>执法事项类型</w:t>
            </w:r>
          </w:p>
        </w:tc>
        <w:tc>
          <w:tcPr>
            <w:tcW w:w="1165" w:type="dxa"/>
            <w:vMerge w:val="restart"/>
            <w:shd w:val="clear" w:color="auto" w:fill="auto"/>
            <w:vAlign w:val="center"/>
          </w:tcPr>
          <w:p w14:paraId="7A39AE51">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5"/>
                <w:sz w:val="20"/>
                <w:szCs w:val="20"/>
              </w:rPr>
              <w:t>执法部门</w:t>
            </w:r>
          </w:p>
        </w:tc>
        <w:tc>
          <w:tcPr>
            <w:tcW w:w="1046" w:type="dxa"/>
            <w:vMerge w:val="restart"/>
            <w:shd w:val="clear" w:color="auto" w:fill="auto"/>
            <w:vAlign w:val="center"/>
          </w:tcPr>
          <w:p w14:paraId="68BDFB53">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执法领域</w:t>
            </w:r>
          </w:p>
        </w:tc>
        <w:tc>
          <w:tcPr>
            <w:tcW w:w="1066" w:type="dxa"/>
            <w:vMerge w:val="restart"/>
            <w:shd w:val="clear" w:color="auto" w:fill="auto"/>
            <w:vAlign w:val="center"/>
          </w:tcPr>
          <w:p w14:paraId="028BDE6E">
            <w:pPr>
              <w:pStyle w:val="13"/>
              <w:spacing w:line="280" w:lineRule="exact"/>
              <w:jc w:val="center"/>
              <w:rPr>
                <w:rFonts w:ascii="黑体" w:hAnsi="黑体" w:eastAsia="黑体" w:cs="黑体"/>
                <w:sz w:val="20"/>
                <w:szCs w:val="20"/>
                <w:lang w:eastAsia="zh-CN"/>
              </w:rPr>
            </w:pPr>
            <w:r>
              <w:rPr>
                <w:rFonts w:hint="eastAsia" w:ascii="黑体" w:hAnsi="黑体" w:eastAsia="黑体" w:cs="黑体"/>
                <w:spacing w:val="2"/>
                <w:sz w:val="20"/>
                <w:szCs w:val="20"/>
              </w:rPr>
              <w:t>实施层级</w:t>
            </w:r>
          </w:p>
        </w:tc>
        <w:tc>
          <w:tcPr>
            <w:tcW w:w="7776" w:type="dxa"/>
            <w:gridSpan w:val="5"/>
            <w:vAlign w:val="center"/>
          </w:tcPr>
          <w:p w14:paraId="72C6F6E9">
            <w:pPr>
              <w:spacing w:line="280" w:lineRule="exact"/>
              <w:jc w:val="center"/>
              <w:rPr>
                <w:rFonts w:ascii="方正小标宋简体" w:hAnsi="方正小标宋简体" w:eastAsia="方正小标宋简体" w:cs="方正小标宋简体"/>
                <w:spacing w:val="1"/>
                <w:sz w:val="20"/>
                <w:szCs w:val="20"/>
              </w:rPr>
            </w:pPr>
            <w:r>
              <w:rPr>
                <w:rFonts w:hint="eastAsia" w:ascii="黑体" w:hAnsi="黑体" w:eastAsia="黑体" w:cs="黑体"/>
                <w:spacing w:val="-2"/>
                <w:sz w:val="20"/>
                <w:szCs w:val="20"/>
              </w:rPr>
              <w:t>执法依据</w:t>
            </w:r>
          </w:p>
        </w:tc>
        <w:tc>
          <w:tcPr>
            <w:tcW w:w="809" w:type="dxa"/>
            <w:vMerge w:val="restart"/>
            <w:vAlign w:val="center"/>
          </w:tcPr>
          <w:p w14:paraId="75526EFE">
            <w:pPr>
              <w:spacing w:line="280" w:lineRule="exact"/>
              <w:jc w:val="center"/>
              <w:rPr>
                <w:rFonts w:ascii="方正小标宋简体" w:hAnsi="方正小标宋简体" w:eastAsia="方正小标宋简体" w:cs="方正小标宋简体"/>
                <w:spacing w:val="1"/>
                <w:sz w:val="20"/>
                <w:szCs w:val="20"/>
              </w:rPr>
            </w:pPr>
            <w:r>
              <w:rPr>
                <w:rFonts w:hint="eastAsia" w:ascii="黑体" w:hAnsi="黑体" w:eastAsia="黑体" w:cs="黑体"/>
                <w:spacing w:val="-3"/>
                <w:sz w:val="20"/>
                <w:szCs w:val="20"/>
              </w:rPr>
              <w:t>备注</w:t>
            </w:r>
          </w:p>
        </w:tc>
      </w:tr>
      <w:tr w14:paraId="195FBB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 w:type="dxa"/>
            <w:vMerge w:val="continue"/>
            <w:vAlign w:val="center"/>
          </w:tcPr>
          <w:p w14:paraId="2D81F064">
            <w:pPr>
              <w:spacing w:line="280" w:lineRule="exact"/>
              <w:jc w:val="center"/>
              <w:rPr>
                <w:rFonts w:ascii="方正小标宋简体" w:hAnsi="方正小标宋简体" w:eastAsia="方正小标宋简体" w:cs="方正小标宋简体"/>
                <w:spacing w:val="1"/>
                <w:sz w:val="44"/>
                <w:szCs w:val="44"/>
              </w:rPr>
            </w:pPr>
          </w:p>
        </w:tc>
        <w:tc>
          <w:tcPr>
            <w:tcW w:w="868" w:type="dxa"/>
            <w:vMerge w:val="continue"/>
            <w:vAlign w:val="center"/>
          </w:tcPr>
          <w:p w14:paraId="3CA3936A">
            <w:pPr>
              <w:spacing w:line="280" w:lineRule="exact"/>
              <w:jc w:val="center"/>
              <w:rPr>
                <w:rFonts w:ascii="方正小标宋简体" w:hAnsi="方正小标宋简体" w:eastAsia="方正小标宋简体" w:cs="方正小标宋简体"/>
                <w:spacing w:val="1"/>
                <w:sz w:val="44"/>
                <w:szCs w:val="44"/>
              </w:rPr>
            </w:pPr>
          </w:p>
        </w:tc>
        <w:tc>
          <w:tcPr>
            <w:tcW w:w="967" w:type="dxa"/>
            <w:vMerge w:val="continue"/>
            <w:vAlign w:val="center"/>
          </w:tcPr>
          <w:p w14:paraId="7EDE9828">
            <w:pPr>
              <w:spacing w:line="280" w:lineRule="exact"/>
              <w:jc w:val="center"/>
              <w:rPr>
                <w:rFonts w:ascii="方正小标宋简体" w:hAnsi="方正小标宋简体" w:eastAsia="方正小标宋简体" w:cs="方正小标宋简体"/>
                <w:spacing w:val="1"/>
                <w:sz w:val="44"/>
                <w:szCs w:val="44"/>
              </w:rPr>
            </w:pPr>
          </w:p>
        </w:tc>
        <w:tc>
          <w:tcPr>
            <w:tcW w:w="1165" w:type="dxa"/>
            <w:vMerge w:val="continue"/>
            <w:vAlign w:val="center"/>
          </w:tcPr>
          <w:p w14:paraId="7A00CE0C">
            <w:pPr>
              <w:spacing w:line="280" w:lineRule="exact"/>
              <w:jc w:val="center"/>
              <w:rPr>
                <w:rFonts w:ascii="方正小标宋简体" w:hAnsi="方正小标宋简体" w:eastAsia="方正小标宋简体" w:cs="方正小标宋简体"/>
                <w:spacing w:val="1"/>
                <w:sz w:val="44"/>
                <w:szCs w:val="44"/>
              </w:rPr>
            </w:pPr>
          </w:p>
        </w:tc>
        <w:tc>
          <w:tcPr>
            <w:tcW w:w="1046" w:type="dxa"/>
            <w:vMerge w:val="continue"/>
            <w:vAlign w:val="center"/>
          </w:tcPr>
          <w:p w14:paraId="6ECF750C">
            <w:pPr>
              <w:spacing w:line="280" w:lineRule="exact"/>
              <w:jc w:val="center"/>
              <w:rPr>
                <w:rFonts w:ascii="方正小标宋简体" w:hAnsi="方正小标宋简体" w:eastAsia="方正小标宋简体" w:cs="方正小标宋简体"/>
                <w:spacing w:val="1"/>
                <w:sz w:val="44"/>
                <w:szCs w:val="44"/>
              </w:rPr>
            </w:pPr>
          </w:p>
        </w:tc>
        <w:tc>
          <w:tcPr>
            <w:tcW w:w="1066" w:type="dxa"/>
            <w:vMerge w:val="continue"/>
            <w:vAlign w:val="center"/>
          </w:tcPr>
          <w:p w14:paraId="33D64C06">
            <w:pPr>
              <w:spacing w:line="280" w:lineRule="exact"/>
              <w:jc w:val="center"/>
              <w:rPr>
                <w:rFonts w:ascii="方正小标宋简体" w:hAnsi="方正小标宋简体" w:eastAsia="方正小标宋简体" w:cs="方正小标宋简体"/>
                <w:spacing w:val="1"/>
                <w:sz w:val="44"/>
                <w:szCs w:val="44"/>
              </w:rPr>
            </w:pPr>
          </w:p>
        </w:tc>
        <w:tc>
          <w:tcPr>
            <w:tcW w:w="1993" w:type="dxa"/>
            <w:vAlign w:val="center"/>
          </w:tcPr>
          <w:p w14:paraId="3CD46706">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法律</w:t>
            </w:r>
          </w:p>
        </w:tc>
        <w:tc>
          <w:tcPr>
            <w:tcW w:w="1165" w:type="dxa"/>
            <w:vAlign w:val="center"/>
          </w:tcPr>
          <w:p w14:paraId="08A1C79A">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行政法规</w:t>
            </w:r>
          </w:p>
        </w:tc>
        <w:tc>
          <w:tcPr>
            <w:tcW w:w="1342" w:type="dxa"/>
            <w:vAlign w:val="center"/>
          </w:tcPr>
          <w:p w14:paraId="3EBA5A17">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地方性法规</w:t>
            </w:r>
          </w:p>
        </w:tc>
        <w:tc>
          <w:tcPr>
            <w:tcW w:w="1204" w:type="dxa"/>
            <w:vAlign w:val="center"/>
          </w:tcPr>
          <w:p w14:paraId="2140CD11">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3"/>
                <w:sz w:val="20"/>
                <w:szCs w:val="20"/>
              </w:rPr>
              <w:t>部门规章</w:t>
            </w:r>
          </w:p>
        </w:tc>
        <w:tc>
          <w:tcPr>
            <w:tcW w:w="2072" w:type="dxa"/>
            <w:vAlign w:val="center"/>
          </w:tcPr>
          <w:p w14:paraId="0F4C9E50">
            <w:pPr>
              <w:pStyle w:val="13"/>
              <w:spacing w:line="280" w:lineRule="exact"/>
              <w:jc w:val="center"/>
              <w:rPr>
                <w:rFonts w:ascii="方正小标宋简体" w:hAnsi="方正小标宋简体" w:eastAsia="方正小标宋简体" w:cs="方正小标宋简体"/>
                <w:spacing w:val="1"/>
                <w:sz w:val="20"/>
                <w:szCs w:val="20"/>
                <w:lang w:eastAsia="zh-CN"/>
              </w:rPr>
            </w:pPr>
            <w:r>
              <w:rPr>
                <w:rFonts w:hint="eastAsia" w:ascii="黑体" w:hAnsi="黑体" w:eastAsia="黑体" w:cs="黑体"/>
                <w:spacing w:val="-2"/>
                <w:sz w:val="20"/>
                <w:szCs w:val="20"/>
              </w:rPr>
              <w:t>政府规章</w:t>
            </w:r>
          </w:p>
        </w:tc>
        <w:tc>
          <w:tcPr>
            <w:tcW w:w="809" w:type="dxa"/>
            <w:vMerge w:val="continue"/>
            <w:vAlign w:val="center"/>
          </w:tcPr>
          <w:p w14:paraId="41E02142">
            <w:pPr>
              <w:spacing w:line="280" w:lineRule="exact"/>
              <w:jc w:val="center"/>
              <w:rPr>
                <w:rFonts w:ascii="方正小标宋简体" w:hAnsi="方正小标宋简体" w:eastAsia="方正小标宋简体" w:cs="方正小标宋简体"/>
                <w:spacing w:val="1"/>
                <w:sz w:val="44"/>
                <w:szCs w:val="44"/>
              </w:rPr>
            </w:pPr>
          </w:p>
        </w:tc>
      </w:tr>
      <w:tr w14:paraId="3C3A27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034493B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w:t>
            </w:r>
          </w:p>
        </w:tc>
        <w:tc>
          <w:tcPr>
            <w:tcW w:w="868" w:type="dxa"/>
            <w:vAlign w:val="center"/>
          </w:tcPr>
          <w:p w14:paraId="116B153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对未取得取水申请批准文件擅自建设取水工程设施逾期不拆除或者不封闭行为的行政强制</w:t>
            </w:r>
          </w:p>
        </w:tc>
        <w:tc>
          <w:tcPr>
            <w:tcW w:w="967" w:type="dxa"/>
            <w:vAlign w:val="center"/>
          </w:tcPr>
          <w:p w14:paraId="51E9740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159237A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2CB6BD2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0E7BD1F2">
            <w:pPr>
              <w:spacing w:line="240" w:lineRule="exact"/>
              <w:jc w:val="center"/>
              <w:rPr>
                <w:rFonts w:hint="eastAsia" w:asciiTheme="minorEastAsia" w:hAnsiTheme="minorEastAsia" w:eastAsiaTheme="minorEastAsia" w:cstheme="minorEastAsia"/>
                <w:spacing w:val="1"/>
                <w:sz w:val="15"/>
                <w:szCs w:val="15"/>
                <w:lang w:val="en-US" w:eastAsia="zh-CN"/>
              </w:rPr>
            </w:pPr>
            <w:bookmarkStart w:id="0" w:name="_GoBack"/>
            <w:bookmarkEnd w:id="0"/>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C8105B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0497F03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《取水许可和水资源费征收管理条例》第四十九条 未取得取水申请批准文件擅自建设取水工程或者设施的，责令停止违法行为，限期补办有关手续；逾期不补办或者补办未被批准的，责令限期拆除或者封闭其取水工程或者设施；逾期不拆除或者不封闭其取水工程或者设施的，由</w:t>
            </w:r>
            <w:r>
              <w:rPr>
                <w:rFonts w:hint="default" w:asciiTheme="minorEastAsia" w:hAnsiTheme="minorEastAsia" w:eastAsiaTheme="minorEastAsia" w:cstheme="minorEastAsia"/>
                <w:spacing w:val="1"/>
                <w:sz w:val="15"/>
                <w:szCs w:val="15"/>
                <w:lang w:val="en-US" w:eastAsia="zh-CN"/>
              </w:rPr>
              <w:t>县级以上地方人民政府水行政主管部门或者流域管理机构组织拆除或者封闭，所需费用由违法行为人承担，可以处5万元以下罚款。</w:t>
            </w:r>
          </w:p>
        </w:tc>
        <w:tc>
          <w:tcPr>
            <w:tcW w:w="1342" w:type="dxa"/>
            <w:vAlign w:val="center"/>
          </w:tcPr>
          <w:p w14:paraId="13E05A3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24FDC303">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FD732A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《甘肃省取水许可和水资源费征收管理办法》第三十九条 违反本办法的行为，按照国务院《取水许可和水资源费征收管理条例》等法律法规的规定处理。</w:t>
            </w:r>
          </w:p>
        </w:tc>
        <w:tc>
          <w:tcPr>
            <w:tcW w:w="809" w:type="dxa"/>
            <w:vAlign w:val="center"/>
          </w:tcPr>
          <w:p w14:paraId="72E8D0DB">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20981D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67DC602B">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w:t>
            </w:r>
          </w:p>
        </w:tc>
        <w:tc>
          <w:tcPr>
            <w:tcW w:w="868" w:type="dxa"/>
            <w:vAlign w:val="center"/>
          </w:tcPr>
          <w:p w14:paraId="2C9536F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对责令限期缴纳水资源费，且逾期不缴纳水资源费行为的行政强制</w:t>
            </w:r>
          </w:p>
        </w:tc>
        <w:tc>
          <w:tcPr>
            <w:tcW w:w="967" w:type="dxa"/>
            <w:vAlign w:val="center"/>
          </w:tcPr>
          <w:p w14:paraId="456103D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6C01071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0A7DEC9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3057CC7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286A927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《中华人民共和国水法》第七十条 </w:t>
            </w:r>
            <w:r>
              <w:rPr>
                <w:rFonts w:hint="default" w:asciiTheme="minorEastAsia" w:hAnsiTheme="minorEastAsia" w:eastAsiaTheme="minorEastAsia" w:cstheme="minorEastAsia"/>
                <w:spacing w:val="1"/>
                <w:sz w:val="15"/>
                <w:szCs w:val="15"/>
                <w:lang w:val="en-US" w:eastAsia="zh-CN"/>
              </w:rPr>
              <w:t>拒不缴纳、拖延缴纳或者拖欠水资源费的，由县级以上人民政府水行政主管部门或者流域管理机构依据职权，责令限期缴纳；逾期不缴纳的，从滞纳之日起按日加收滞纳部分千分之二的滞纳金，并处应缴或者补缴水资源费一倍以上五倍以下的罚款。</w:t>
            </w:r>
            <w:r>
              <w:rPr>
                <w:rFonts w:hint="default" w:asciiTheme="minorEastAsia" w:hAnsiTheme="minorEastAsia" w:eastAsiaTheme="minorEastAsia" w:cstheme="minorEastAsia"/>
                <w:spacing w:val="1"/>
                <w:sz w:val="15"/>
                <w:szCs w:val="15"/>
                <w:lang w:val="en-US" w:eastAsia="zh-CN"/>
              </w:rPr>
              <w:br w:type="textWrapping"/>
            </w:r>
          </w:p>
        </w:tc>
        <w:tc>
          <w:tcPr>
            <w:tcW w:w="1165" w:type="dxa"/>
            <w:vAlign w:val="center"/>
          </w:tcPr>
          <w:p w14:paraId="02E41F59">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《取水许可和水资源费征收管理条例》第五十四条 取水单位或者个人拒不缴纳、拖延缴纳或者拖欠水资源费的，依照《中华人民共和国水法》第七十条规定处罚</w:t>
            </w:r>
          </w:p>
          <w:p w14:paraId="4641767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74E20CC1">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《甘肃省实施&lt;中华人民共和国水法&gt;办法》第六十三条 违反本办法规定的行为，法律、法规已有处罚规定的，依照其规定执行。</w:t>
            </w:r>
          </w:p>
          <w:p w14:paraId="0B858B13">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053C4760">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AA61F2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《甘肃省取水许可和水资源费征收管理办法》第三十九条 违反本办法的行为，按照国务院《取水许可和水资源费征收管理条例》等法律法规的规定处理</w:t>
            </w:r>
            <w:r>
              <w:rPr>
                <w:rFonts w:hint="eastAsia" w:asciiTheme="minorEastAsia" w:hAnsiTheme="minorEastAsia" w:eastAsiaTheme="minorEastAsia" w:cstheme="minorEastAsia"/>
                <w:spacing w:val="1"/>
                <w:sz w:val="15"/>
                <w:szCs w:val="15"/>
                <w:lang w:val="en-US" w:eastAsia="zh-CN"/>
              </w:rPr>
              <w:t>。</w:t>
            </w:r>
          </w:p>
        </w:tc>
        <w:tc>
          <w:tcPr>
            <w:tcW w:w="809" w:type="dxa"/>
            <w:vAlign w:val="center"/>
          </w:tcPr>
          <w:p w14:paraId="6F79AC35">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512E54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EADB4EB">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3</w:t>
            </w:r>
          </w:p>
        </w:tc>
        <w:tc>
          <w:tcPr>
            <w:tcW w:w="868" w:type="dxa"/>
            <w:vAlign w:val="center"/>
          </w:tcPr>
          <w:p w14:paraId="3DBDA47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对以监测、勘探为目的的地下水取水工程应当备案而未备案，且逾期不封井或者回填行为的行政强制</w:t>
            </w:r>
          </w:p>
        </w:tc>
        <w:tc>
          <w:tcPr>
            <w:tcW w:w="967" w:type="dxa"/>
            <w:vAlign w:val="center"/>
          </w:tcPr>
          <w:p w14:paraId="2FEDDAD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337721C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7B845BD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3FBE8D5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18C2AF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79EA7F3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《地下水管理条例》第四十八条 以监测、勘探为目的的地下水取水工程，不需要申请取水许可，建设单位应当于施工前报有管辖权的水行政主管部门备案。</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第六十一条 以监测、勘探为目的的地下水取水工程在施工前应当备案而未备案的，由</w:t>
            </w:r>
            <w:r>
              <w:rPr>
                <w:rFonts w:hint="default" w:asciiTheme="minorEastAsia" w:hAnsiTheme="minorEastAsia" w:eastAsiaTheme="minorEastAsia" w:cstheme="minorEastAsia"/>
                <w:spacing w:val="1"/>
                <w:sz w:val="15"/>
                <w:szCs w:val="15"/>
                <w:lang w:val="en-US" w:eastAsia="zh-CN"/>
              </w:rPr>
              <w:t>县级以上地方人民政府水行政主管部门责令限期补办备案手续；逾期不补办备案手续的，责令限期封井或者回填，处2万元以上10万元以下罚款；逾期不封井或者回填的，由县级以上地方人民政府水行政主管部门组织封井或者回填，所需费用由违法行为人承担。</w:t>
            </w:r>
          </w:p>
        </w:tc>
        <w:tc>
          <w:tcPr>
            <w:tcW w:w="1342" w:type="dxa"/>
            <w:vAlign w:val="center"/>
          </w:tcPr>
          <w:p w14:paraId="21E0469F">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265B763F">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325D05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4B86AAC1">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4E7B6C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453BC0A6">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4</w:t>
            </w:r>
          </w:p>
        </w:tc>
        <w:tc>
          <w:tcPr>
            <w:tcW w:w="868" w:type="dxa"/>
            <w:vAlign w:val="center"/>
          </w:tcPr>
          <w:p w14:paraId="496BCF6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对地下工程建设给地下水补给、径流、排泄等造成重大不利影响，且逾期不采取措施消除不利影响行为的行政强制</w:t>
            </w:r>
          </w:p>
        </w:tc>
        <w:tc>
          <w:tcPr>
            <w:tcW w:w="967" w:type="dxa"/>
            <w:vAlign w:val="center"/>
          </w:tcPr>
          <w:p w14:paraId="5063C6E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6086773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26BF4F6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2F9030F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4912181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2B0D097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《地下水管理条例》第二十六条 建设单位和个人应当采取措施防止地下工程建设对地下水补给、径流、排泄等造成重大不利影响。对开挖达到一定深度或者达到一定排水规模的地下工程，建设单位和个人应当于工程开工前，将工程建设方案和防止对地下水产生不利影响的措施方案报有管理权限的水行政主管部门备案。开挖深度和排水规模由省、自治区、直辖市人民政府制定、公布。</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第五十七条 地下工程建设对地下水补给、径流、排泄等造成重大不利影响的，由</w:t>
            </w:r>
            <w:r>
              <w:rPr>
                <w:rFonts w:hint="default" w:asciiTheme="minorEastAsia" w:hAnsiTheme="minorEastAsia" w:eastAsiaTheme="minorEastAsia" w:cstheme="minorEastAsia"/>
                <w:spacing w:val="1"/>
                <w:sz w:val="15"/>
                <w:szCs w:val="15"/>
                <w:lang w:val="en-US" w:eastAsia="zh-CN"/>
              </w:rPr>
              <w:t>县级以上地方人民政府水行政主管部门责令限期采取措施消除不利影响，处10万元以上50万元以下罚款；逾期不采取措施消除不利影响的，由县级以上地方人民政府水行政主管部门组织采取措施消除不利影响，所需费用由违法行为人承担。</w:t>
            </w:r>
          </w:p>
        </w:tc>
        <w:tc>
          <w:tcPr>
            <w:tcW w:w="1342" w:type="dxa"/>
            <w:vAlign w:val="center"/>
          </w:tcPr>
          <w:p w14:paraId="7322E212">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4F2C3B8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6E5AF5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1CF4D6FB">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44119C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552B1E6C">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5</w:t>
            </w:r>
          </w:p>
        </w:tc>
        <w:tc>
          <w:tcPr>
            <w:tcW w:w="868" w:type="dxa"/>
            <w:vAlign w:val="center"/>
          </w:tcPr>
          <w:p w14:paraId="4A7314F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对报废的矿井、钻井、地下水取水工程，或者未建成、已完成勘探任务、依法应当停止取水的地下水取水工程，未按照规定封井或者回填，且不具备封井或者回填能力行为的行政强制</w:t>
            </w:r>
          </w:p>
        </w:tc>
        <w:tc>
          <w:tcPr>
            <w:tcW w:w="967" w:type="dxa"/>
            <w:vAlign w:val="center"/>
          </w:tcPr>
          <w:p w14:paraId="7BB293C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4E0DE62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2B93001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44C655D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0832CD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677E511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《地下水管理条例》第五十八条 报废的矿井、钻井、地下水取水工程，或者未建成、已完成勘探任务、依法应当停止取水的地下水取水工程，未按照规定封井或者回填的，由</w:t>
            </w:r>
            <w:r>
              <w:rPr>
                <w:rFonts w:hint="default" w:asciiTheme="minorEastAsia" w:hAnsiTheme="minorEastAsia" w:eastAsiaTheme="minorEastAsia" w:cstheme="minorEastAsia"/>
                <w:spacing w:val="1"/>
                <w:sz w:val="15"/>
                <w:szCs w:val="15"/>
                <w:lang w:val="en-US" w:eastAsia="zh-CN"/>
              </w:rPr>
              <w:t>县级以上地方人民政府或者其授权的部门责令封井或者回填，处10万元以上50万元以下罚款；不具备封井或者回填能力的，由县级以上地方人民政府或者其授权的部门组织封井或者回填，所需费用由违法行为人承担。</w:t>
            </w:r>
          </w:p>
        </w:tc>
        <w:tc>
          <w:tcPr>
            <w:tcW w:w="1342" w:type="dxa"/>
            <w:vAlign w:val="center"/>
          </w:tcPr>
          <w:p w14:paraId="5681B38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4E54358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A560F3A">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73F9D80B">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3E6E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Align w:val="center"/>
          </w:tcPr>
          <w:p w14:paraId="52E5B89D">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6</w:t>
            </w:r>
          </w:p>
        </w:tc>
        <w:tc>
          <w:tcPr>
            <w:tcW w:w="868" w:type="dxa"/>
            <w:vAlign w:val="center"/>
          </w:tcPr>
          <w:p w14:paraId="1C6F83E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对侵占、毁坏或者擅自移动地下水监测设施设备及其标志，逾期不采取补救措施行为的行政强制</w:t>
            </w:r>
          </w:p>
        </w:tc>
        <w:tc>
          <w:tcPr>
            <w:tcW w:w="967" w:type="dxa"/>
            <w:vAlign w:val="center"/>
          </w:tcPr>
          <w:p w14:paraId="6677824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42DCFFA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1737AC5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76D983D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60A09EC7">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159E38B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《地下水管理条例》第四十七条 任何单位和个人不得侵占、毁坏或者擅自移动地下水监测设施设备及其标志。</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第六十条 侵占、毁坏或者擅自移动地下水监测设施设备及其标志的，由</w:t>
            </w:r>
            <w:r>
              <w:rPr>
                <w:rFonts w:hint="default" w:asciiTheme="minorEastAsia" w:hAnsiTheme="minorEastAsia" w:eastAsiaTheme="minorEastAsia" w:cstheme="minorEastAsia"/>
                <w:spacing w:val="1"/>
                <w:sz w:val="15"/>
                <w:szCs w:val="15"/>
                <w:lang w:val="en-US" w:eastAsia="zh-CN"/>
              </w:rPr>
              <w:t>县级以上地方人民政府水行政、自然资源、生态环境主管部门责令停止违法行为，限期采取补救措施，处2万元以上10万元以下罚款；逾期不采取补救措施的，由县级以上地方人民政府水行政、自然资源、生态环境主管部门组织补救，所需费用由违法行为人承担。</w:t>
            </w:r>
          </w:p>
        </w:tc>
        <w:tc>
          <w:tcPr>
            <w:tcW w:w="1342" w:type="dxa"/>
            <w:vAlign w:val="center"/>
          </w:tcPr>
          <w:p w14:paraId="4EDB3E2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6D57CEB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3CD39455">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00E49C71">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CC9F6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Align w:val="center"/>
          </w:tcPr>
          <w:p w14:paraId="3300E163">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7</w:t>
            </w:r>
          </w:p>
        </w:tc>
        <w:tc>
          <w:tcPr>
            <w:tcW w:w="868" w:type="dxa"/>
            <w:vAlign w:val="center"/>
          </w:tcPr>
          <w:p w14:paraId="643988B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对河道管理范围内建设妨碍行洪的建筑物、构筑物，或者从事影响河势稳定、危害河岸堤防安全和其他妨碍河道行洪的活动责令限期拆除或者恢复原状，逾期不拆除、不恢复原状等行为的行政强制</w:t>
            </w:r>
          </w:p>
        </w:tc>
        <w:tc>
          <w:tcPr>
            <w:tcW w:w="967" w:type="dxa"/>
            <w:vAlign w:val="center"/>
          </w:tcPr>
          <w:p w14:paraId="4A2457A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0D0AA29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5D82570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55FB9A0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5BE32C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《中华人民共和国水法》第六十五条第一款 在河道管理范围内建设妨碍行洪的建筑物、构筑物，或者从事影响河势稳定、危害河岸堤防安全和其他妨碍河道行洪的活动的，由县级以上人民政府水行政主管部门或者流域管理机构依据职权，责令停止违法行为，限期拆除违法建筑物、构筑物，恢复原状；逾期不拆除、不恢复原状的，强行拆除，所需费用由违法单位或者个人负担，并处一万元以上十万元以下的罚款。</w:t>
            </w:r>
          </w:p>
        </w:tc>
        <w:tc>
          <w:tcPr>
            <w:tcW w:w="1165" w:type="dxa"/>
            <w:vAlign w:val="center"/>
          </w:tcPr>
          <w:p w14:paraId="465210E7">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197CEFE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《甘肃省实施&lt;中华人民共和国水法&gt;办法》第五十六条 违反本办法规定，在河道管理范围内建设妨碍行洪的建筑物、构筑物或者从事影响河势稳定、危害河岸堤防安全和其他妨碍河道行洪活动的，由县级以上人民政府水行政主管部门依据职权，责令停止违法行为，限期拆除违法建筑物、构筑物，恢复原状；逾期不拆除、不恢复原状的，强行拆除，所需费用由违法单位或者个人负担，并处一万元以上十万元以下的罚款。</w:t>
            </w:r>
          </w:p>
          <w:p w14:paraId="44EC488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《甘肃省实施&lt;中华人民共和国防洪法&gt;办法》第十五条第一款 禁止在河道、湖泊管理范围内建设妨碍行洪的建筑物、构筑物，倾倒垃圾、渣土，从事影响河势稳定、危害河岸堤防安全和其他妨碍河道行洪的活动。</w:t>
            </w:r>
          </w:p>
          <w:p w14:paraId="48DC511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124EC6F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《甘肃省河道管理条例》第三十七条第一款 违反本条例第二十七条第一款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04" w:type="dxa"/>
            <w:vAlign w:val="center"/>
          </w:tcPr>
          <w:p w14:paraId="46B0D53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158129D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3030D678">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5FB328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53" w:type="dxa"/>
            <w:vAlign w:val="center"/>
          </w:tcPr>
          <w:p w14:paraId="453FAD9F">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8</w:t>
            </w:r>
          </w:p>
        </w:tc>
        <w:tc>
          <w:tcPr>
            <w:tcW w:w="868" w:type="dxa"/>
            <w:vAlign w:val="center"/>
          </w:tcPr>
          <w:p w14:paraId="3826391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对逾期不拆除擅自修建水工程，或者建设桥梁、码头和其他拦河、跨河、临河建筑物、构筑物，铺设跨河管道、电缆行为的行政强制</w:t>
            </w:r>
          </w:p>
        </w:tc>
        <w:tc>
          <w:tcPr>
            <w:tcW w:w="967" w:type="dxa"/>
            <w:vAlign w:val="center"/>
          </w:tcPr>
          <w:p w14:paraId="28ADB23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39DF6D5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502A849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7CE8327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2B85D97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《中华人民共和国水法》第六十五条第二款 未经水行政主管部门或者流域管理机构同意，擅自修建水工程，或者建设桥梁、码头和其他拦河、跨河、临河建筑物、构筑物，铺设跨河管道、电缆，且防洪法未作规定的，由县级以上人民政府水行政主管部门或者流域管理机构依据职权，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165" w:type="dxa"/>
            <w:vAlign w:val="center"/>
          </w:tcPr>
          <w:p w14:paraId="4DD2D74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04A4F94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《甘肃省实施&lt;中华人民共和国水法&gt;办法》第五十六条 违反本办法规定，在河道管理范围内建设妨碍行洪的建筑物、构筑物或者从事影响河势稳定、危害河岸堤防安全和其他妨碍河道行洪活动的，由县级以上人民政府水行政主管部门依据职权，责令停止违法行为，限期拆除违法建筑物、构筑物，恢复原状；逾期不拆除、不恢复原状的，强行拆除，所需费用由违法单位或者个人负担，并处一万元以上十万元以下的罚款。</w:t>
            </w:r>
          </w:p>
          <w:p w14:paraId="37DA030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《甘肃省实施&lt;中华人民共和国防洪法&gt;办法》第十五条第一款 禁止在河道、湖泊管理范围内建设妨碍行洪的建筑物、构筑物，倾倒垃圾、渣土，从事影响河势稳定、危害河岸堤防安全和其他妨碍河道行洪的活动。</w:t>
            </w:r>
          </w:p>
          <w:p w14:paraId="033063F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第四十五条 违反本办法第十五条、第十六条、第十七条、第二十条规定的行为，依照《中华人民共和国防洪法》《中华人民共和国水法》《中华人民共和国河道管理条例》《水库大坝安全管理条例》的处罚规定执行；违反本办法规定的其他行为，法律、行政法规已有处罚规定的，依照其规定执行。</w:t>
            </w:r>
          </w:p>
          <w:p w14:paraId="4240D21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《甘肃省河道管理条例》第三十七条第二款 违反本条例第二十七条第二款规定，未按照审查批准的位置、界限从事工程设施建设活动的，由县级以上人民政府水行政主管部门责令停止违法行为；工程设施建设严重影响防洪的，责令限期拆除，逾期不拆除的，强行拆除，所需费用由建设单位承担；影响行洪但尚可采取补救措施的，责令限期采取补救措施，可以处一万元以上十万元以下的罚款。</w:t>
            </w:r>
          </w:p>
        </w:tc>
        <w:tc>
          <w:tcPr>
            <w:tcW w:w="1204" w:type="dxa"/>
            <w:vAlign w:val="center"/>
          </w:tcPr>
          <w:p w14:paraId="25C1B70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588B37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473BF0EF">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30EA0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4BB70772">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9</w:t>
            </w:r>
          </w:p>
        </w:tc>
        <w:tc>
          <w:tcPr>
            <w:tcW w:w="868" w:type="dxa"/>
            <w:vAlign w:val="center"/>
          </w:tcPr>
          <w:p w14:paraId="2FBDB65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对围湖造地、未经批准围垦河道或者在长江、黄河、珠江、辽河、淮河、海河入海河口范围内违反河口整治规划围海造地的，既不恢复原状也不采取其他补救措施行为的行政强制</w:t>
            </w:r>
          </w:p>
        </w:tc>
        <w:tc>
          <w:tcPr>
            <w:tcW w:w="967" w:type="dxa"/>
            <w:vAlign w:val="center"/>
          </w:tcPr>
          <w:p w14:paraId="377918D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2F89907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7F19695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2A52FDA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54AC19F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《中华人民共和国防洪法》第十五条 国务院水行政主管部门应当会同有关部门和省、自治区、直辖市人民政府制定长江、黄河、珠江、辽河、淮河、海河入海河口的整治规划。</w:t>
            </w:r>
          </w:p>
          <w:p w14:paraId="3EA361D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在前款入海河口围海造地，应当符合河口整治规划。</w:t>
            </w:r>
          </w:p>
          <w:p w14:paraId="5CEDBB4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第二十三条 禁止围湖造地。已经围垦的，应当按照国家规定的防洪标准进行治理，有计划地退地还湖。</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禁止围垦河道。确需围垦的，应当进行科学论证，经水行政主管部门确认不妨碍行洪、输水后，报省级以上人民政府批准。</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第五十六条 违反本法第十五条第二款、第二十三条规定，围海造地、围湖造地、围垦河道的，责令停止违法行为，恢复原状或者采取其他补救措施，可以处五万元以下的罚款；既不恢复原状也不采取其他补救措施的，代为恢复原状或者采取其他补救措施，所需费用由违法者承担。</w:t>
            </w:r>
          </w:p>
          <w:p w14:paraId="74972B33">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p w14:paraId="4A2EA54D">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7E69B66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6218A6F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《甘肃省实施&lt;中华人民共和国水法&gt;办法》第五十七条 违反本办法规定，在江河、湖泊、水库、渠道内弃置、堆放阻碍行洪的物体和种植阻碍行洪的林木及高秆作物；围湖造地或者未经批准围垦河道的，由县级以上人民政府水行政主管部门依据职权，责令停止违法行为，限期清除障碍或者采取其他补救措施，处一万元以上五万元以下的罚款。</w:t>
            </w:r>
          </w:p>
        </w:tc>
        <w:tc>
          <w:tcPr>
            <w:tcW w:w="1204" w:type="dxa"/>
            <w:vAlign w:val="center"/>
          </w:tcPr>
          <w:p w14:paraId="03C3516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C1C777F">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559BE101">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2190FA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1292261F">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10</w:t>
            </w:r>
          </w:p>
        </w:tc>
        <w:tc>
          <w:tcPr>
            <w:tcW w:w="868" w:type="dxa"/>
            <w:vAlign w:val="center"/>
          </w:tcPr>
          <w:p w14:paraId="2552C07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对逾期不拆除未经审查同意或者未按照审查批准的位置、界限，在河道、湖泊管理范围内从事工程设施建设活动行为的行政强制</w:t>
            </w:r>
          </w:p>
        </w:tc>
        <w:tc>
          <w:tcPr>
            <w:tcW w:w="967" w:type="dxa"/>
            <w:vAlign w:val="center"/>
          </w:tcPr>
          <w:p w14:paraId="4EEC210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72341DF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653277B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7E791C5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6280798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《中华人民共和国防洪法》第五十七条 违反本法第二十七条规定，未经水行政主管部门对其工程建设方案审查同意或者未按照有关水行政主管部门审查批准的位置、界限，在河道、湖泊管理范围内从事工程设施建设活动的，责令停止违法行为，补办审查同意或者审查批准手续；工程设施建设严重影响防洪的，责令限期拆除，逾期不拆除的，强行拆除，所需费用由建设单位承担；影响行洪但尚可采取补救措施的，责令限期采取补救措施，可以处一万元以上十万元以下的罚款。</w:t>
            </w:r>
          </w:p>
          <w:p w14:paraId="77C830F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第六十三条 除本法第五十九条的规定外，本章规定的行政处罚和行政措施，由县级以上人民政府水行政主管部门决定，或者由流域管理机构按照国务院水行政主管部门规定的权限决定。</w:t>
            </w:r>
          </w:p>
        </w:tc>
        <w:tc>
          <w:tcPr>
            <w:tcW w:w="1165" w:type="dxa"/>
            <w:vAlign w:val="center"/>
          </w:tcPr>
          <w:p w14:paraId="7EF0E9B0">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62D33C36">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56DE177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4DF5B03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1F8466EA">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B7F8D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858720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11</w:t>
            </w:r>
          </w:p>
        </w:tc>
        <w:tc>
          <w:tcPr>
            <w:tcW w:w="868" w:type="dxa"/>
            <w:vAlign w:val="center"/>
          </w:tcPr>
          <w:p w14:paraId="22BCF5E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对紧急防汛期逾期不清除壅水、阻水严重的桥梁、引道、码头和其他跨河工程设施等行为的行政强制</w:t>
            </w:r>
          </w:p>
        </w:tc>
        <w:tc>
          <w:tcPr>
            <w:tcW w:w="967" w:type="dxa"/>
            <w:vAlign w:val="center"/>
          </w:tcPr>
          <w:p w14:paraId="0420872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75C1A85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58BCC4F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30893D4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00EEA0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《中华人民共和国防洪法》第四十二条 对河道、湖泊范围内阻碍行洪的障碍物，按照谁设障、谁清除的原则，由</w:t>
            </w:r>
            <w:r>
              <w:rPr>
                <w:rFonts w:hint="default" w:asciiTheme="minorEastAsia" w:hAnsiTheme="minorEastAsia" w:eastAsiaTheme="minorEastAsia" w:cstheme="minorEastAsia"/>
                <w:spacing w:val="1"/>
                <w:sz w:val="15"/>
                <w:szCs w:val="15"/>
                <w:lang w:val="en-US" w:eastAsia="zh-CN"/>
              </w:rPr>
              <w:t>防汛指挥机构责令限期清除；逾期不清除的，由防汛指挥机构组织强行清除，所需费用由设障者承担。</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在紧急防汛期，国家防汛指挥机构或者其授权的流域、省、自治区、直辖市防汛指挥机构有权对壅水、阻水严重的桥梁、引道、码头和其他跨河工程设施作出紧急处置。</w:t>
            </w:r>
          </w:p>
        </w:tc>
        <w:tc>
          <w:tcPr>
            <w:tcW w:w="1165" w:type="dxa"/>
            <w:vAlign w:val="center"/>
          </w:tcPr>
          <w:p w14:paraId="73B9D2F0">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《中华人民共和国河道管理条例》第三十七条 对壅水、阻水严重的桥梁、引道、码头和其他跨河工程设施，根据国家规定的防洪标准，由河道主管机关提出意见并报经人民政府批准，责成原建设单位在规定的期限内改建或者拆除。汛期影响防洪安全的，必须服从防汛指挥部的紧急处理决定。</w:t>
            </w:r>
          </w:p>
          <w:p w14:paraId="61491AC2">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79E1B0D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《甘肃省实施&lt;中华人民共和国防洪法&gt;办法》第三十条第一款 对河道管理范围内阻碍行洪的障碍物，按照谁设障、谁清除的原则，由县级以上人民政府水行政主管部门责令限期清除；逾期不清除的，由县级以上人民政府水行政主管部门组织强行清除，所需费用由设障者承担。</w:t>
            </w:r>
          </w:p>
          <w:p w14:paraId="3C16F60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第三十三条第二款 在紧急防汛期，防汛指挥机构根据防汛抗洪的需要，有权在其管辖范围内调用物资、设备、交通运输工具和人力，决定采取取土占地、砍伐林木、清除阻水障碍物和其他必要的紧急措施；必要时，公安、交通运输等有关部门按照防汛指挥机构的决定，依法实施陆地和水面交通管制。</w:t>
            </w:r>
          </w:p>
        </w:tc>
        <w:tc>
          <w:tcPr>
            <w:tcW w:w="1204" w:type="dxa"/>
            <w:vAlign w:val="center"/>
          </w:tcPr>
          <w:p w14:paraId="45A64B1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243BE44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71D28735">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79BC7B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4BA29D4">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12</w:t>
            </w:r>
          </w:p>
        </w:tc>
        <w:tc>
          <w:tcPr>
            <w:tcW w:w="868" w:type="dxa"/>
            <w:vAlign w:val="center"/>
          </w:tcPr>
          <w:p w14:paraId="4A33C15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将天然河道改为暗河（渠），擅自填堵、缩减原有河道沟叉、贮水湖塘洼淀和废除原有防洪堤岸行为的行政处罚</w:t>
            </w:r>
          </w:p>
        </w:tc>
        <w:tc>
          <w:tcPr>
            <w:tcW w:w="967" w:type="dxa"/>
            <w:vAlign w:val="center"/>
          </w:tcPr>
          <w:p w14:paraId="12C902A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797FAC8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5C7936F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1C17C5F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B8F13B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1A74A66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45954454">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《甘肃省河道管理条例》第十八条第二款 城乡建设不得降低河道水系功能，不得将天然河道改为暗河（渠），不得擅自填堵、缩减原有河道沟叉、贮水湖塘洼淀和废除原有防洪堤岸；确需填堵、缩减或者废除的，应当科学论证，经有管辖权的水行政主管部门同意，报同级人民政府批准。</w:t>
            </w:r>
          </w:p>
          <w:p w14:paraId="78720E4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第三十四条 违反本条例第十八条第二款规定，将天然河道改为暗河（渠）的，由县级以上人民政府水行政主管部门责令停止违法行为，限期拆除违法建筑物、构筑物，恢复原状；逾期不拆除、不恢复原状的，强行拆除，所需费用由违法单位或者个人负担，并处一万元以上十万元以下的罚款。</w:t>
            </w:r>
          </w:p>
        </w:tc>
        <w:tc>
          <w:tcPr>
            <w:tcW w:w="1204" w:type="dxa"/>
            <w:vAlign w:val="center"/>
          </w:tcPr>
          <w:p w14:paraId="6AFA3FF5">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5951634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2DB5E909">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488AAC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A4FDF08">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13</w:t>
            </w:r>
          </w:p>
        </w:tc>
        <w:tc>
          <w:tcPr>
            <w:tcW w:w="868" w:type="dxa"/>
            <w:vAlign w:val="center"/>
          </w:tcPr>
          <w:p w14:paraId="3E106F1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在界河河道内修建取水、引水、排水、阻水、蓄水、排渣工程及河道整治工程行为的行政强制</w:t>
            </w:r>
          </w:p>
        </w:tc>
        <w:tc>
          <w:tcPr>
            <w:tcW w:w="967" w:type="dxa"/>
            <w:vAlign w:val="center"/>
          </w:tcPr>
          <w:p w14:paraId="11A7846E">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1E735AE5">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7C8A8FD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39BD36D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B645CD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7B7777E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479D0C3C">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《甘肃省河道管理条例》第二十二条 在界河河道内修建取水、引水、排水、阻水、蓄水、排渣工程及河道整治工程，应当经毗邻各方协商一致，报上级水行政主管部门批准。</w:t>
            </w:r>
          </w:p>
          <w:p w14:paraId="7E74437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第三十六条 违反本条例第二十二条规定，且《中华人民共和国防洪法》未作规定的，由县级以上人民政府水行政主管部门责令停止违法行为，限期补办有关手续；逾期不补办或者补办未被批准的，责令限期拆除违法建筑物、构筑物；逾期不拆除的，强行拆除，所需费用由违法单位或者个人负担，并处一万元以上十万元以下的罚款。</w:t>
            </w:r>
          </w:p>
        </w:tc>
        <w:tc>
          <w:tcPr>
            <w:tcW w:w="1204" w:type="dxa"/>
            <w:vAlign w:val="center"/>
          </w:tcPr>
          <w:p w14:paraId="0085F295">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3F44CD32">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47856564">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3CECDA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548905DB">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14</w:t>
            </w:r>
          </w:p>
        </w:tc>
        <w:tc>
          <w:tcPr>
            <w:tcW w:w="868" w:type="dxa"/>
            <w:vAlign w:val="center"/>
          </w:tcPr>
          <w:p w14:paraId="6A9052A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对拒不停止违法行为造成严重水土流失行为的行政强制</w:t>
            </w:r>
          </w:p>
        </w:tc>
        <w:tc>
          <w:tcPr>
            <w:tcW w:w="967" w:type="dxa"/>
            <w:vAlign w:val="center"/>
          </w:tcPr>
          <w:p w14:paraId="6F805AE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3C6F1F9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446145A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0765A47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D93F85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《中华人民共和国水土保持法》第四十四条 水政监督检查人员依法履行监督检查职责时，有权采取下列措施：</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（一）要求被检查单位或者个人提供有关文件、证照、资料；</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（二）要求被检查单位或者个人就预防和治理水土流失的有关情况作出说明；</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（三）进入现场进行调查、取证。</w:t>
            </w:r>
            <w:r>
              <w:rPr>
                <w:rFonts w:hint="eastAsia" w:asciiTheme="minorEastAsia" w:hAnsiTheme="minorEastAsia" w:eastAsiaTheme="minorEastAsia" w:cstheme="minorEastAsia"/>
                <w:spacing w:val="1"/>
                <w:sz w:val="15"/>
                <w:szCs w:val="15"/>
                <w:lang w:val="en-US" w:eastAsia="zh-CN"/>
              </w:rPr>
              <w:br w:type="textWrapping"/>
            </w:r>
            <w:r>
              <w:rPr>
                <w:rFonts w:hint="eastAsia" w:asciiTheme="minorEastAsia" w:hAnsiTheme="minorEastAsia" w:eastAsiaTheme="minorEastAsia" w:cstheme="minorEastAsia"/>
                <w:spacing w:val="1"/>
                <w:sz w:val="15"/>
                <w:szCs w:val="15"/>
                <w:lang w:val="en-US" w:eastAsia="zh-CN"/>
              </w:rPr>
              <w:t xml:space="preserve">     被检查单位或者个人拒不停止违法行为，造成严重水土流失的，报经</w:t>
            </w:r>
            <w:r>
              <w:rPr>
                <w:rFonts w:hint="default" w:asciiTheme="minorEastAsia" w:hAnsiTheme="minorEastAsia" w:eastAsiaTheme="minorEastAsia" w:cstheme="minorEastAsia"/>
                <w:spacing w:val="1"/>
                <w:sz w:val="15"/>
                <w:szCs w:val="15"/>
                <w:lang w:val="en-US" w:eastAsia="zh-CN"/>
              </w:rPr>
              <w:t>水行政主管部门批准，可以查封、扣押实施违法行为的工具及施工机械、设备等。</w:t>
            </w:r>
          </w:p>
        </w:tc>
        <w:tc>
          <w:tcPr>
            <w:tcW w:w="1165" w:type="dxa"/>
            <w:vAlign w:val="center"/>
          </w:tcPr>
          <w:p w14:paraId="41E0D990">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5C05166B">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05371302">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0714A3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72675B41">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5C6CE7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3F65D4A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15</w:t>
            </w:r>
          </w:p>
        </w:tc>
        <w:tc>
          <w:tcPr>
            <w:tcW w:w="868" w:type="dxa"/>
            <w:vAlign w:val="center"/>
          </w:tcPr>
          <w:p w14:paraId="2134F9F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对逾期不清理在水土保持方案确定的专门存放地以外的区域倾倒砂、石、土、矸石、尾矿、废渣等行为的行政强制</w:t>
            </w:r>
          </w:p>
        </w:tc>
        <w:tc>
          <w:tcPr>
            <w:tcW w:w="967" w:type="dxa"/>
            <w:shd w:val="clear" w:color="auto" w:fill="auto"/>
            <w:vAlign w:val="center"/>
          </w:tcPr>
          <w:p w14:paraId="0452393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4079632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3C40FBF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02D971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4054BE18">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《中华人民共和国水土保持法》第五十五条 违反本法规定，在水土保持方案确定的专门存放地以外的区域倾倒砂、石、土、矸石、尾矿、废渣等的，由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限期清理，按照倾倒数量处每立方米十元以上二十元以下的罚款；逾期仍不清理的，县级以上地方人民政府水行政主管部门可以指定有清理能力的单位代为清理，所需费用由违法行为人承担。</w:t>
            </w:r>
          </w:p>
          <w:p w14:paraId="180BE48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5A6150C7">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34D04F2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《甘肃省水土保持条例》第四十七条 违反本条例规定，开办生产建设项目或者从事其他生产建设活动造成水土流失，不进行治理的，由县级以上人民政府水土保持管理部门责令限期治理;逾期仍不治理的，可以指定有治理能力的单位代为治理，所需费用由违法行为人承担。</w:t>
            </w:r>
          </w:p>
        </w:tc>
        <w:tc>
          <w:tcPr>
            <w:tcW w:w="1204" w:type="dxa"/>
            <w:vAlign w:val="center"/>
          </w:tcPr>
          <w:p w14:paraId="0D661B2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0AAC0BA">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02BB47F4">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0F052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29F92918">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16</w:t>
            </w:r>
          </w:p>
        </w:tc>
        <w:tc>
          <w:tcPr>
            <w:tcW w:w="868" w:type="dxa"/>
            <w:vAlign w:val="center"/>
          </w:tcPr>
          <w:p w14:paraId="2A62346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对开办生产建设项目或者从事其他生产建设活动造成水土流失逾期仍不治理，或者治理不符合国家规定的相关标准的等行为的行政强制</w:t>
            </w:r>
          </w:p>
        </w:tc>
        <w:tc>
          <w:tcPr>
            <w:tcW w:w="967" w:type="dxa"/>
            <w:vAlign w:val="center"/>
          </w:tcPr>
          <w:p w14:paraId="5FC8BDA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45527F5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3F9C8D1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0C49CDD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479E6A1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《中华人民共和国水土保持法》第五十六条 违反本法规定，开办生产建设项目或者从事其他生产建设活动造成水土流失，不进行治理的，由</w:t>
            </w:r>
            <w:r>
              <w:rPr>
                <w:rFonts w:hint="default" w:asciiTheme="minorEastAsia" w:hAnsiTheme="minorEastAsia" w:eastAsiaTheme="minorEastAsia" w:cstheme="minorEastAsia"/>
                <w:spacing w:val="1"/>
                <w:sz w:val="15"/>
                <w:szCs w:val="15"/>
                <w:lang w:val="en-US" w:eastAsia="zh-CN"/>
              </w:rPr>
              <w:t>县级以上人民政府水行政主管部门责令限期治理；逾期仍不治理的，县级以上人民政府水行政主管部门可以指定有治理能力的单位代为治理，所需费用由违法行为人承担。</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《中华人民共和国黄河保护法》第一百一十条 违反本法规定，在黄河流域从事生产建设活动造成水土流失未进行治理，或者治理不符合国家规定的相关标准的，由县级以上地方人民政府水行政主管部门或者黄河流域管理机构及其所属管理机构责令限期治理，对单位处二万元以上二十万元以下罚款，对个人可以处二万元以下罚款；逾期不治理的，代为治理，所需费用由违法者承担。</w:t>
            </w:r>
          </w:p>
        </w:tc>
        <w:tc>
          <w:tcPr>
            <w:tcW w:w="1165" w:type="dxa"/>
            <w:vAlign w:val="center"/>
          </w:tcPr>
          <w:p w14:paraId="41022B6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0D72F59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《甘肃省水土保持条例》第四十七条 违反本条例规定，开办生产建设项目或者从事其他生产建设活动造成水土流失，不进行治理的，由县级以上人民政府水土保持管理部门责令限期治理;逾期仍不治理的，可以指定有治理能力的单位代为治理，所需费用由违法行为人承担。</w:t>
            </w:r>
          </w:p>
        </w:tc>
        <w:tc>
          <w:tcPr>
            <w:tcW w:w="1204" w:type="dxa"/>
            <w:vAlign w:val="center"/>
          </w:tcPr>
          <w:p w14:paraId="7CB8F9B4">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614A71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6175099D">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784C5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4D6BBF8D">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17</w:t>
            </w:r>
          </w:p>
        </w:tc>
        <w:tc>
          <w:tcPr>
            <w:tcW w:w="868" w:type="dxa"/>
            <w:vAlign w:val="center"/>
          </w:tcPr>
          <w:p w14:paraId="54D62BE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对逾期不缴纳水土保持补偿费行为的行政强制</w:t>
            </w:r>
          </w:p>
        </w:tc>
        <w:tc>
          <w:tcPr>
            <w:tcW w:w="967" w:type="dxa"/>
            <w:vAlign w:val="center"/>
          </w:tcPr>
          <w:p w14:paraId="111E3CE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vAlign w:val="center"/>
          </w:tcPr>
          <w:p w14:paraId="4388092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vAlign w:val="center"/>
          </w:tcPr>
          <w:p w14:paraId="61415BB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vAlign w:val="center"/>
          </w:tcPr>
          <w:p w14:paraId="1E1B286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400C5F7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《中华人民共和国水土保持法》第五十七条 违反本法规定，拒不缴纳水土保持补偿费的，由</w:t>
            </w:r>
            <w:r>
              <w:rPr>
                <w:rFonts w:hint="default" w:asciiTheme="minorEastAsia" w:hAnsiTheme="minorEastAsia" w:eastAsiaTheme="minorEastAsia" w:cstheme="minorEastAsia"/>
                <w:spacing w:val="1"/>
                <w:sz w:val="15"/>
                <w:szCs w:val="15"/>
                <w:lang w:val="en-US" w:eastAsia="zh-CN"/>
              </w:rPr>
              <w:t>县级以上人民政府水行政主管部门责令限期缴纳；逾期不缴纳的，自滞纳之日起按日加收滞纳部分万分之五的滞纳金，可以处应缴水土保持补偿费三倍以下的罚款。</w:t>
            </w:r>
          </w:p>
        </w:tc>
        <w:tc>
          <w:tcPr>
            <w:tcW w:w="1165" w:type="dxa"/>
            <w:vAlign w:val="center"/>
          </w:tcPr>
          <w:p w14:paraId="618A6D83">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342" w:type="dxa"/>
            <w:vAlign w:val="center"/>
          </w:tcPr>
          <w:p w14:paraId="79284F81">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《甘肃省水土保持条例》第四十八条 违反本条例规定，拒不缴纳水土保持补偿费的，由县级以上人民政府水土保持管理部门责令限期缴纳;逾期仍不缴纳的，自滞纳之日起按日加收万分之五的滞纳金，可以处应缴水土保持补偿费三倍以下的罚款。</w:t>
            </w:r>
          </w:p>
        </w:tc>
        <w:tc>
          <w:tcPr>
            <w:tcW w:w="1204" w:type="dxa"/>
            <w:vAlign w:val="center"/>
          </w:tcPr>
          <w:p w14:paraId="30CA452E">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17CB6BC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50E9BE9A">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149798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6BBC0BE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18</w:t>
            </w:r>
          </w:p>
        </w:tc>
        <w:tc>
          <w:tcPr>
            <w:tcW w:w="868" w:type="dxa"/>
            <w:vAlign w:val="center"/>
          </w:tcPr>
          <w:p w14:paraId="15ECA1E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对堆放阻碍农田水利工程设施蓄水、输水、排水的物体，擅自占用农业灌溉水源、农田水利工程设施等行为，且逾期不恢复原状或者采取补救措施行为的行政强制</w:t>
            </w:r>
          </w:p>
        </w:tc>
        <w:tc>
          <w:tcPr>
            <w:tcW w:w="967" w:type="dxa"/>
            <w:shd w:val="clear" w:color="auto" w:fill="auto"/>
            <w:vAlign w:val="center"/>
          </w:tcPr>
          <w:p w14:paraId="70D5588D">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3D2AFBF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03054DD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03E74B1E">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13AF073D">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189E421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《农田水利条例》第四十三条 违反本条例规定，有下列行为之一的，由</w:t>
            </w:r>
            <w:r>
              <w:rPr>
                <w:rFonts w:hint="default" w:asciiTheme="minorEastAsia" w:hAnsiTheme="minorEastAsia" w:eastAsiaTheme="minorEastAsia" w:cstheme="minorEastAsia"/>
                <w:spacing w:val="1"/>
                <w:sz w:val="15"/>
                <w:szCs w:val="15"/>
                <w:lang w:val="en-US" w:eastAsia="zh-CN"/>
              </w:rPr>
              <w:t>县级以上地方人民政府水行政主管部门责令停止违法行为，限期恢复原状或者采取补救措施；逾期不恢复原状或者采取补救措施的，依法强制执行；造成损失的，依法承担民事责任；构成违反治安管理行为的，依法给予治安管理处罚；构成犯罪的，依法追究刑事责任：</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（一）堆放阻碍农田水利工程设施蓄水、输水、排水的物体；</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（二）建设妨碍农田水利工程设施蓄水、输水、排水的建筑物和构筑物；</w:t>
            </w:r>
            <w:r>
              <w:rPr>
                <w:rFonts w:hint="default" w:asciiTheme="minorEastAsia" w:hAnsiTheme="minorEastAsia" w:eastAsiaTheme="minorEastAsia" w:cstheme="minorEastAsia"/>
                <w:spacing w:val="1"/>
                <w:sz w:val="15"/>
                <w:szCs w:val="15"/>
                <w:lang w:val="en-US" w:eastAsia="zh-CN"/>
              </w:rPr>
              <w:br w:type="textWrapping"/>
            </w:r>
            <w:r>
              <w:rPr>
                <w:rFonts w:hint="default" w:asciiTheme="minorEastAsia" w:hAnsiTheme="minorEastAsia" w:eastAsiaTheme="minorEastAsia" w:cstheme="minorEastAsia"/>
                <w:spacing w:val="1"/>
                <w:sz w:val="15"/>
                <w:szCs w:val="15"/>
                <w:lang w:val="en-US" w:eastAsia="zh-CN"/>
              </w:rPr>
              <w:t xml:space="preserve">    （三）擅自占用农业灌溉水源、农田水利工程设施。</w:t>
            </w:r>
          </w:p>
        </w:tc>
        <w:tc>
          <w:tcPr>
            <w:tcW w:w="1342" w:type="dxa"/>
            <w:vAlign w:val="center"/>
          </w:tcPr>
          <w:p w14:paraId="0EF5AD5B">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51A76E6A">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74E5AD4A">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199844D4">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196F18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43BC9E15">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19</w:t>
            </w:r>
          </w:p>
        </w:tc>
        <w:tc>
          <w:tcPr>
            <w:tcW w:w="868" w:type="dxa"/>
            <w:vAlign w:val="center"/>
          </w:tcPr>
          <w:p w14:paraId="3C35B19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对水库、水电站、拦河闸坝等工程的管理单位以及其他经营工程设施的经营者拒不服从统一调度和指挥，拒不改正行为的行政强制</w:t>
            </w:r>
          </w:p>
        </w:tc>
        <w:tc>
          <w:tcPr>
            <w:tcW w:w="967" w:type="dxa"/>
            <w:shd w:val="clear" w:color="auto" w:fill="auto"/>
            <w:vAlign w:val="center"/>
          </w:tcPr>
          <w:p w14:paraId="2EF27216">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50DD623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E09E86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2BFABFF9">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37481CDC">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2126E95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《中华人民共和国抗旱条例》第六十条 违反本条例规定，水库、水电站、拦河闸坝等工程的管理单位以及其他经营工程设施的经营者拒不服从统一调度和指挥的，由</w:t>
            </w:r>
            <w:r>
              <w:rPr>
                <w:rFonts w:hint="default" w:asciiTheme="minorEastAsia" w:hAnsiTheme="minorEastAsia" w:eastAsiaTheme="minorEastAsia" w:cstheme="minorEastAsia"/>
                <w:spacing w:val="1"/>
                <w:sz w:val="15"/>
                <w:szCs w:val="15"/>
                <w:lang w:val="en-US" w:eastAsia="zh-CN"/>
              </w:rPr>
              <w:t>县级以上人民政府水行政主管部门或者流域管理机构责令改正，给予警告；拒不改正的，强制执行，处1万元以上5万元以下的罚款。</w:t>
            </w:r>
          </w:p>
        </w:tc>
        <w:tc>
          <w:tcPr>
            <w:tcW w:w="1342" w:type="dxa"/>
            <w:vAlign w:val="center"/>
          </w:tcPr>
          <w:p w14:paraId="3C58F89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57460911">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5F731E47">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241D7004">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6F57F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1BCB6D14">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20</w:t>
            </w:r>
          </w:p>
        </w:tc>
        <w:tc>
          <w:tcPr>
            <w:tcW w:w="868" w:type="dxa"/>
            <w:vAlign w:val="center"/>
          </w:tcPr>
          <w:p w14:paraId="0807017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对逾期不拆除擅自设立的水文测站或者在国家基本水文测站上下游建设影响水文监测的工程行为的行政强制</w:t>
            </w:r>
          </w:p>
        </w:tc>
        <w:tc>
          <w:tcPr>
            <w:tcW w:w="967" w:type="dxa"/>
            <w:shd w:val="clear" w:color="auto" w:fill="auto"/>
            <w:vAlign w:val="center"/>
          </w:tcPr>
          <w:p w14:paraId="0A1281B3">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2D4B96C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56DDCC4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615AEB1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22C56B0D">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165" w:type="dxa"/>
            <w:vAlign w:val="center"/>
          </w:tcPr>
          <w:p w14:paraId="038FBED7">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《中华人民共和国水文条例》第三十七条 未经批准擅自设立水文测站或者未经同意擅自在国家基本水文测站上下游建设影响水文监测的工程的，责令停止违法行为，限期采取补救措施，补办有关手续；无法采取补救措施、逾期不补办或者补办未被批准的，责令限期拆除违法建筑物；逾期不拆除的，强行拆除，所需费用由违法单位或者个人承担。</w:t>
            </w:r>
          </w:p>
          <w:p w14:paraId="6FF34D8A">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第四十三条 本条例规定的行政处罚，由县级以上人民政府水行政主管部门或者流域管理机构依据职权决定。</w:t>
            </w:r>
          </w:p>
        </w:tc>
        <w:tc>
          <w:tcPr>
            <w:tcW w:w="1342" w:type="dxa"/>
            <w:vAlign w:val="center"/>
          </w:tcPr>
          <w:p w14:paraId="00D558CB">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43EB2C8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3915BA3D">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21275079">
            <w:pPr>
              <w:spacing w:line="240" w:lineRule="exact"/>
              <w:jc w:val="center"/>
              <w:rPr>
                <w:rFonts w:hint="eastAsia" w:asciiTheme="minorEastAsia" w:hAnsiTheme="minorEastAsia" w:eastAsiaTheme="minorEastAsia" w:cstheme="minorEastAsia"/>
                <w:spacing w:val="1"/>
                <w:sz w:val="15"/>
                <w:szCs w:val="15"/>
                <w:lang w:val="en-US" w:eastAsia="zh-CN"/>
              </w:rPr>
            </w:pPr>
          </w:p>
        </w:tc>
      </w:tr>
      <w:tr w14:paraId="7122B8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453" w:type="dxa"/>
            <w:vAlign w:val="center"/>
          </w:tcPr>
          <w:p w14:paraId="720D5230">
            <w:pPr>
              <w:spacing w:line="240" w:lineRule="exact"/>
              <w:jc w:val="center"/>
              <w:rPr>
                <w:rFonts w:hint="default"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21</w:t>
            </w:r>
          </w:p>
        </w:tc>
        <w:tc>
          <w:tcPr>
            <w:tcW w:w="868" w:type="dxa"/>
            <w:vAlign w:val="center"/>
          </w:tcPr>
          <w:p w14:paraId="29526AAF">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对调处水事纠纷各方或者当事人采取临时处置措施的行政强制</w:t>
            </w:r>
          </w:p>
        </w:tc>
        <w:tc>
          <w:tcPr>
            <w:tcW w:w="967" w:type="dxa"/>
            <w:shd w:val="clear" w:color="auto" w:fill="auto"/>
            <w:vAlign w:val="center"/>
          </w:tcPr>
          <w:p w14:paraId="3796FAE2">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行政强制</w:t>
            </w:r>
          </w:p>
        </w:tc>
        <w:tc>
          <w:tcPr>
            <w:tcW w:w="1165" w:type="dxa"/>
            <w:shd w:val="clear" w:color="auto" w:fill="auto"/>
            <w:vAlign w:val="center"/>
          </w:tcPr>
          <w:p w14:paraId="3AE9CE0C">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山丹县水务局</w:t>
            </w:r>
          </w:p>
        </w:tc>
        <w:tc>
          <w:tcPr>
            <w:tcW w:w="1046" w:type="dxa"/>
            <w:shd w:val="clear" w:color="auto" w:fill="auto"/>
            <w:vAlign w:val="center"/>
          </w:tcPr>
          <w:p w14:paraId="7C022790">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水利</w:t>
            </w:r>
          </w:p>
        </w:tc>
        <w:tc>
          <w:tcPr>
            <w:tcW w:w="1066" w:type="dxa"/>
            <w:shd w:val="clear" w:color="auto" w:fill="auto"/>
            <w:vAlign w:val="center"/>
          </w:tcPr>
          <w:p w14:paraId="4A8753B8">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县级</w:t>
            </w:r>
          </w:p>
        </w:tc>
        <w:tc>
          <w:tcPr>
            <w:tcW w:w="1993" w:type="dxa"/>
            <w:vAlign w:val="center"/>
          </w:tcPr>
          <w:p w14:paraId="2188BAA4">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eastAsia" w:asciiTheme="minorEastAsia" w:hAnsiTheme="minorEastAsia" w:eastAsiaTheme="minorEastAsia" w:cstheme="minorEastAsia"/>
                <w:spacing w:val="1"/>
                <w:sz w:val="15"/>
                <w:szCs w:val="15"/>
                <w:lang w:val="en-US" w:eastAsia="zh-CN"/>
              </w:rPr>
              <w:t xml:space="preserve">《中华人民共和国水法》第五十八条 </w:t>
            </w:r>
            <w:r>
              <w:rPr>
                <w:rFonts w:hint="default" w:asciiTheme="minorEastAsia" w:hAnsiTheme="minorEastAsia" w:eastAsiaTheme="minorEastAsia" w:cstheme="minorEastAsia"/>
                <w:spacing w:val="1"/>
                <w:sz w:val="15"/>
                <w:szCs w:val="15"/>
                <w:lang w:val="en-US" w:eastAsia="zh-CN"/>
              </w:rPr>
              <w:t>县级以上人民政府或者其授权的部门在处理水事纠纷时，有权采取临时处置措施，有关各方或者当事人必须服从。</w:t>
            </w:r>
            <w:r>
              <w:rPr>
                <w:rFonts w:hint="default" w:asciiTheme="minorEastAsia" w:hAnsiTheme="minorEastAsia" w:eastAsiaTheme="minorEastAsia" w:cstheme="minorEastAsia"/>
                <w:spacing w:val="1"/>
                <w:sz w:val="15"/>
                <w:szCs w:val="15"/>
                <w:lang w:val="en-US" w:eastAsia="zh-CN"/>
              </w:rPr>
              <w:br w:type="textWrapping"/>
            </w:r>
          </w:p>
        </w:tc>
        <w:tc>
          <w:tcPr>
            <w:tcW w:w="1165" w:type="dxa"/>
            <w:vAlign w:val="center"/>
          </w:tcPr>
          <w:p w14:paraId="58106178">
            <w:pPr>
              <w:spacing w:line="240" w:lineRule="exact"/>
              <w:jc w:val="center"/>
              <w:rPr>
                <w:rFonts w:hint="default"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《中华人民共和国防汛条例》第十九条 地区之间在防汛抗洪方面发生的水事纠纷，由发生纠纷地区共同的上一级人民政府或其授权的主管部门处理。</w:t>
            </w:r>
          </w:p>
          <w:p w14:paraId="755652CB">
            <w:pPr>
              <w:spacing w:line="240" w:lineRule="exact"/>
              <w:jc w:val="center"/>
              <w:rPr>
                <w:rFonts w:hint="eastAsia" w:asciiTheme="minorEastAsia" w:hAnsiTheme="minorEastAsia" w:eastAsiaTheme="minorEastAsia" w:cstheme="minorEastAsia"/>
                <w:spacing w:val="1"/>
                <w:sz w:val="15"/>
                <w:szCs w:val="15"/>
                <w:lang w:val="en-US" w:eastAsia="zh-CN"/>
              </w:rPr>
            </w:pPr>
            <w:r>
              <w:rPr>
                <w:rFonts w:hint="default" w:asciiTheme="minorEastAsia" w:hAnsiTheme="minorEastAsia" w:eastAsiaTheme="minorEastAsia" w:cstheme="minorEastAsia"/>
                <w:spacing w:val="1"/>
                <w:sz w:val="15"/>
                <w:szCs w:val="15"/>
                <w:lang w:val="en-US" w:eastAsia="zh-CN"/>
              </w:rPr>
              <w:t>前款所指人民政府或者部门在处理防汛抗洪方面的水事纠纷时，有权采取临时紧急处置措施，有关当事各方必须服从并贯彻执行。</w:t>
            </w:r>
          </w:p>
        </w:tc>
        <w:tc>
          <w:tcPr>
            <w:tcW w:w="1342" w:type="dxa"/>
            <w:vAlign w:val="center"/>
          </w:tcPr>
          <w:p w14:paraId="2B16F259">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1204" w:type="dxa"/>
            <w:vAlign w:val="center"/>
          </w:tcPr>
          <w:p w14:paraId="41206920">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2072" w:type="dxa"/>
            <w:vAlign w:val="center"/>
          </w:tcPr>
          <w:p w14:paraId="6F6BEF38">
            <w:pPr>
              <w:spacing w:line="240" w:lineRule="exact"/>
              <w:jc w:val="center"/>
              <w:rPr>
                <w:rFonts w:hint="eastAsia" w:asciiTheme="minorEastAsia" w:hAnsiTheme="minorEastAsia" w:eastAsiaTheme="minorEastAsia" w:cstheme="minorEastAsia"/>
                <w:spacing w:val="1"/>
                <w:sz w:val="15"/>
                <w:szCs w:val="15"/>
                <w:lang w:val="en-US" w:eastAsia="zh-CN"/>
              </w:rPr>
            </w:pPr>
          </w:p>
        </w:tc>
        <w:tc>
          <w:tcPr>
            <w:tcW w:w="809" w:type="dxa"/>
            <w:vAlign w:val="center"/>
          </w:tcPr>
          <w:p w14:paraId="64A66C3A">
            <w:pPr>
              <w:spacing w:line="240" w:lineRule="exact"/>
              <w:jc w:val="center"/>
              <w:rPr>
                <w:rFonts w:hint="eastAsia" w:asciiTheme="minorEastAsia" w:hAnsiTheme="minorEastAsia" w:eastAsiaTheme="minorEastAsia" w:cstheme="minorEastAsia"/>
                <w:spacing w:val="1"/>
                <w:sz w:val="15"/>
                <w:szCs w:val="15"/>
                <w:lang w:val="en-US" w:eastAsia="zh-CN"/>
              </w:rPr>
            </w:pPr>
          </w:p>
        </w:tc>
      </w:tr>
    </w:tbl>
    <w:p w14:paraId="2D1A8A41">
      <w:pPr>
        <w:spacing w:line="240" w:lineRule="exact"/>
        <w:jc w:val="left"/>
        <w:rPr>
          <w:rFonts w:ascii="黑体" w:hAnsi="黑体" w:eastAsia="黑体" w:cs="黑体"/>
          <w:spacing w:val="1"/>
          <w:sz w:val="18"/>
          <w:szCs w:val="18"/>
        </w:rPr>
      </w:pPr>
      <w:r>
        <w:rPr>
          <w:rFonts w:hint="eastAsia" w:ascii="黑体" w:hAnsi="黑体" w:eastAsia="黑体" w:cs="黑体"/>
          <w:spacing w:val="1"/>
          <w:sz w:val="18"/>
          <w:szCs w:val="18"/>
        </w:rPr>
        <w:t>填表说明：</w:t>
      </w:r>
    </w:p>
    <w:p w14:paraId="457D28F2">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1.事项名称，事项名称应与法律法规要求保持一致，确保科学、严谨、规范。</w:t>
      </w:r>
    </w:p>
    <w:p w14:paraId="10E76016">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2.事项类型，行政执法事项类型为行政处罚、行政强制、行政检查。</w:t>
      </w:r>
    </w:p>
    <w:p w14:paraId="11F55C8F">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3.执法部门，执法部门要与法律、法规和规章等明确的执法责任主体以及部门权责清单、“三定”方案明确的执法责任主体保持一致。</w:t>
      </w:r>
    </w:p>
    <w:p w14:paraId="76FA8009">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4.执法领域，执法领域包括城市管理、市场监管、生态环境、文化市场、交通运输、应急管理、农业</w:t>
      </w:r>
      <w:r>
        <w:rPr>
          <w:rFonts w:hint="eastAsia" w:asciiTheme="minorEastAsia" w:hAnsiTheme="minorEastAsia" w:cstheme="minorEastAsia"/>
          <w:spacing w:val="1"/>
          <w:sz w:val="18"/>
          <w:szCs w:val="18"/>
        </w:rPr>
        <w:t>农村</w:t>
      </w:r>
      <w:r>
        <w:rPr>
          <w:rFonts w:hint="eastAsia" w:asciiTheme="minorEastAsia" w:hAnsiTheme="minorEastAsia" w:eastAsiaTheme="minorEastAsia" w:cstheme="minorEastAsia"/>
          <w:spacing w:val="1"/>
          <w:sz w:val="18"/>
          <w:szCs w:val="18"/>
        </w:rPr>
        <w:t>等领域。</w:t>
      </w:r>
    </w:p>
    <w:p w14:paraId="6B6B5301">
      <w:pPr>
        <w:spacing w:line="240" w:lineRule="exact"/>
        <w:ind w:firstLine="364" w:firstLineChars="200"/>
        <w:jc w:val="left"/>
        <w:rPr>
          <w:rFonts w:asciiTheme="minorEastAsia" w:hAnsiTheme="minorEastAsia" w:eastAsiaTheme="minorEastAsia" w:cstheme="minorEastAsia"/>
          <w:spacing w:val="1"/>
          <w:sz w:val="18"/>
          <w:szCs w:val="18"/>
        </w:rPr>
      </w:pPr>
      <w:r>
        <w:rPr>
          <w:rFonts w:hint="eastAsia" w:asciiTheme="minorEastAsia" w:hAnsiTheme="minorEastAsia" w:eastAsiaTheme="minorEastAsia" w:cstheme="minorEastAsia"/>
          <w:spacing w:val="1"/>
          <w:sz w:val="18"/>
          <w:szCs w:val="18"/>
        </w:rPr>
        <w:t>5.执法依据，按照现行有效法律、行政法规、地方性法规、部门规章、政府规章不同法律位阶分别填写，要完整填写所涉及法律、法规、规章的全称并重点列明具体条款项目。</w:t>
      </w:r>
    </w:p>
    <w:p w14:paraId="1CFE886A">
      <w:pPr>
        <w:spacing w:line="240" w:lineRule="exact"/>
        <w:ind w:firstLine="364" w:firstLineChars="200"/>
        <w:jc w:val="left"/>
        <w:rPr>
          <w:rFonts w:ascii="仿宋_GB2312" w:eastAsia="仿宋_GB2312"/>
        </w:rPr>
        <w:sectPr>
          <w:footerReference r:id="rId3" w:type="default"/>
          <w:pgSz w:w="16838" w:h="11906" w:orient="landscape"/>
          <w:pgMar w:top="1588" w:right="1644" w:bottom="1474" w:left="1531" w:header="851" w:footer="1417" w:gutter="0"/>
          <w:pgNumType w:fmt="numberInDash"/>
          <w:cols w:space="425" w:num="1"/>
          <w:docGrid w:type="lines" w:linePitch="312" w:charSpace="0"/>
        </w:sectPr>
      </w:pPr>
      <w:r>
        <w:rPr>
          <w:rFonts w:hint="eastAsia" w:asciiTheme="minorEastAsia" w:hAnsiTheme="minorEastAsia" w:eastAsiaTheme="minorEastAsia" w:cstheme="minorEastAsia"/>
          <w:spacing w:val="1"/>
          <w:sz w:val="18"/>
          <w:szCs w:val="18"/>
        </w:rPr>
        <w:t>6.</w:t>
      </w:r>
      <w:r>
        <w:rPr>
          <w:rFonts w:hint="eastAsia" w:asciiTheme="minorEastAsia" w:hAnsiTheme="minorEastAsia" w:cstheme="minorEastAsia"/>
          <w:spacing w:val="1"/>
          <w:sz w:val="18"/>
          <w:szCs w:val="18"/>
        </w:rPr>
        <w:t>委托</w:t>
      </w:r>
      <w:r>
        <w:rPr>
          <w:rFonts w:hint="eastAsia" w:asciiTheme="minorEastAsia" w:hAnsiTheme="minorEastAsia" w:eastAsiaTheme="minorEastAsia" w:cstheme="minorEastAsia"/>
          <w:spacing w:val="1"/>
          <w:sz w:val="18"/>
          <w:szCs w:val="18"/>
        </w:rPr>
        <w:t>执法</w:t>
      </w:r>
      <w:r>
        <w:rPr>
          <w:rFonts w:hint="eastAsia" w:asciiTheme="minorEastAsia" w:hAnsiTheme="minorEastAsia" w:cstheme="minorEastAsia"/>
          <w:spacing w:val="1"/>
          <w:sz w:val="18"/>
          <w:szCs w:val="18"/>
        </w:rPr>
        <w:t>事项</w:t>
      </w:r>
      <w:r>
        <w:rPr>
          <w:rFonts w:hint="eastAsia" w:asciiTheme="minorEastAsia" w:hAnsiTheme="minorEastAsia" w:eastAsiaTheme="minorEastAsia" w:cstheme="minorEastAsia"/>
          <w:spacing w:val="1"/>
          <w:sz w:val="18"/>
          <w:szCs w:val="18"/>
        </w:rPr>
        <w:t>，对以委托形式的执法事项，应保留在委托部门的执法事项目录清单中，执法部门栏列明委托的单位名称，备注栏填写具体行使该项行政权力的受委托单位，并注明“委托执法”。</w:t>
      </w:r>
    </w:p>
    <w:p w14:paraId="744D066A">
      <w:pPr>
        <w:tabs>
          <w:tab w:val="left" w:pos="269"/>
        </w:tabs>
        <w:spacing w:line="560" w:lineRule="exact"/>
        <w:rPr>
          <w:rFonts w:ascii="仿宋_GB2312" w:eastAsia="仿宋_GB2312"/>
        </w:rPr>
      </w:pPr>
      <w:r>
        <mc:AlternateContent>
          <mc:Choice Requires="wps">
            <w:drawing>
              <wp:anchor distT="0" distB="0" distL="114300" distR="114300" simplePos="0" relativeHeight="251663360"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2" name="直接箭头连接符 2"/>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3360;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Dxz0hf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2336"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1" name="直接箭头连接符 1"/>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2336;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zo2kzdcAAAAOAQAADwAAAAAAAAABACAAAAAiAAAAZHJzL2Rvd25yZXYueG1sUEsB&#10;AhQAFAAAAAgAh07iQIhU5zL2AQAAvwMAAA4AAAAAAAAAAQAgAAAAJgEAAGRycy9lMm9Eb2MueG1s&#10;UEsFBgAAAAAGAAYAWQEAAI4FAAAAAA==&#10;">
                <v:fill on="f" focussize="0,0"/>
                <v:stroke weight="1.5pt" color="#FF0000" joinstyle="round"/>
                <v:imagedata o:title=""/>
                <o:lock v:ext="edit" aspectratio="f"/>
              </v:shape>
            </w:pict>
          </mc:Fallback>
        </mc:AlternateContent>
      </w:r>
      <w:r>
        <mc:AlternateContent>
          <mc:Choice Requires="wps">
            <w:drawing>
              <wp:anchor distT="0" distB="0" distL="114300" distR="114300" simplePos="0" relativeHeight="251661312" behindDoc="0" locked="0" layoutInCell="1" allowOverlap="1">
                <wp:simplePos x="0" y="0"/>
                <wp:positionH relativeFrom="column">
                  <wp:posOffset>779145</wp:posOffset>
                </wp:positionH>
                <wp:positionV relativeFrom="paragraph">
                  <wp:posOffset>9648190</wp:posOffset>
                </wp:positionV>
                <wp:extent cx="6049645" cy="0"/>
                <wp:effectExtent l="0" t="19050" r="8255" b="19050"/>
                <wp:wrapNone/>
                <wp:docPr id="4" name="直接箭头连接符 4"/>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41275">
                          <a:solidFill>
                            <a:srgbClr val="FF0000"/>
                          </a:solidFill>
                          <a:round/>
                        </a:ln>
                      </wps:spPr>
                      <wps:bodyPr/>
                    </wps:wsp>
                  </a:graphicData>
                </a:graphic>
              </wp:anchor>
            </w:drawing>
          </mc:Choice>
          <mc:Fallback>
            <w:pict>
              <v:shape id="_x0000_s1026" o:spid="_x0000_s1026" o:spt="32" type="#_x0000_t32" style="position:absolute;left:0pt;margin-left:61.35pt;margin-top:759.7pt;height:0pt;width:476.35pt;z-index:251661312;mso-width-relative:page;mso-height-relative:page;" filled="f" stroked="t" coordsize="21600,21600" o:gfxdata="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">
                <v:fill on="f" focussize="0,0"/>
                <v:stroke weight="3.25pt" color="#FF0000" joinstyle="round"/>
                <v:imagedata o:title=""/>
                <o:lock v:ext="edit" aspectratio="f"/>
              </v:shape>
            </w:pict>
          </mc:Fallback>
        </mc:AlternateContent>
      </w:r>
      <w:r>
        <mc:AlternateContent>
          <mc:Choice Requires="wps">
            <w:drawing>
              <wp:anchor distT="0" distB="0" distL="114300" distR="114300" simplePos="0" relativeHeight="251660288" behindDoc="0" locked="0" layoutInCell="1" allowOverlap="1">
                <wp:simplePos x="0" y="0"/>
                <wp:positionH relativeFrom="column">
                  <wp:posOffset>779145</wp:posOffset>
                </wp:positionH>
                <wp:positionV relativeFrom="paragraph">
                  <wp:posOffset>9571990</wp:posOffset>
                </wp:positionV>
                <wp:extent cx="6049645" cy="0"/>
                <wp:effectExtent l="0" t="0" r="27305" b="19050"/>
                <wp:wrapNone/>
                <wp:docPr id="3" name="直接箭头连接符 3"/>
                <wp:cNvGraphicFramePr/>
                <a:graphic xmlns:a="http://schemas.openxmlformats.org/drawingml/2006/main">
                  <a:graphicData uri="http://schemas.microsoft.com/office/word/2010/wordprocessingShape">
                    <wps:wsp>
                      <wps:cNvCnPr>
                        <a:cxnSpLocks noChangeShapeType="1"/>
                      </wps:cNvCnPr>
                      <wps:spPr bwMode="auto">
                        <a:xfrm>
                          <a:off x="0" y="0"/>
                          <a:ext cx="6049645" cy="0"/>
                        </a:xfrm>
                        <a:prstGeom prst="straightConnector1">
                          <a:avLst/>
                        </a:prstGeom>
                        <a:noFill/>
                        <a:ln w="19050">
                          <a:solidFill>
                            <a:srgbClr val="FF0000"/>
                          </a:solidFill>
                          <a:round/>
                        </a:ln>
                      </wps:spPr>
                      <wps:bodyPr/>
                    </wps:wsp>
                  </a:graphicData>
                </a:graphic>
              </wp:anchor>
            </w:drawing>
          </mc:Choice>
          <mc:Fallback>
            <w:pict>
              <v:shape id="_x0000_s1026" o:spid="_x0000_s1026" o:spt="32" type="#_x0000_t32" style="position:absolute;left:0pt;margin-left:61.35pt;margin-top:753.7pt;height:0pt;width:476.35pt;z-index:251660288;mso-width-relative:page;mso-height-relative:page;" filled="f" stroked="t" coordsize="21600,21600" o:gfxdata="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DOjaTN1wAAAA4BAAAPAAAAAAAAAAEAIAAAACIAAABkcnMvZG93bnJldi54bWxQ&#10;SwECFAAUAAAACACHTuJAL6+KUPgBAAC/AwAADgAAAAAAAAABACAAAAAmAQAAZHJzL2Uyb0RvYy54&#10;bWxQSwUGAAAAAAYABgBZAQAAkAUAAAAA&#10;">
                <v:fill on="f" focussize="0,0"/>
                <v:stroke weight="1.5pt" color="#FF0000" joinstyle="round"/>
                <v:imagedata o:title=""/>
                <o:lock v:ext="edit" aspectratio="f"/>
              </v:shape>
            </w:pict>
          </mc:Fallback>
        </mc:AlternateContent>
      </w:r>
    </w:p>
    <w:sectPr>
      <w:pgSz w:w="11906" w:h="16838"/>
      <w:pgMar w:top="2098" w:right="1474" w:bottom="1985" w:left="1588" w:header="851" w:footer="1417"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imbus Roman No9 L">
    <w:altName w:val="微软雅黑"/>
    <w:panose1 w:val="00000000000000000000"/>
    <w:charset w:val="00"/>
    <w:family w:val="auto"/>
    <w:pitch w:val="default"/>
    <w:sig w:usb0="00000000" w:usb1="00000000" w:usb2="00000000" w:usb3="00000000" w:csb0="00040001"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D9EDB">
    <w:pPr>
      <w:pStyle w:val="4"/>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8164E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p w14:paraId="618164E3">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M5ZjA3YTY2ZjEwNzZhZDZlZDE1ZjQ4ZGViNDcwNTAifQ=="/>
  </w:docVars>
  <w:rsids>
    <w:rsidRoot w:val="00880869"/>
    <w:rsid w:val="00192DD6"/>
    <w:rsid w:val="002402B7"/>
    <w:rsid w:val="00536A9D"/>
    <w:rsid w:val="00566489"/>
    <w:rsid w:val="00795AF1"/>
    <w:rsid w:val="00880869"/>
    <w:rsid w:val="00A33866"/>
    <w:rsid w:val="00B22A39"/>
    <w:rsid w:val="00BC3529"/>
    <w:rsid w:val="00C24EDB"/>
    <w:rsid w:val="00D14396"/>
    <w:rsid w:val="00D75F36"/>
    <w:rsid w:val="00E3066D"/>
    <w:rsid w:val="00E3135A"/>
    <w:rsid w:val="00E705BC"/>
    <w:rsid w:val="00EF0047"/>
    <w:rsid w:val="00F27A1A"/>
    <w:rsid w:val="05EE4D5E"/>
    <w:rsid w:val="07B03E85"/>
    <w:rsid w:val="16EF0A61"/>
    <w:rsid w:val="17E0104B"/>
    <w:rsid w:val="2300408F"/>
    <w:rsid w:val="25D86356"/>
    <w:rsid w:val="3AA65EB1"/>
    <w:rsid w:val="48E24BBA"/>
    <w:rsid w:val="4CB13B3B"/>
    <w:rsid w:val="53205222"/>
    <w:rsid w:val="683A7585"/>
    <w:rsid w:val="68F97ECC"/>
    <w:rsid w:val="69334DEF"/>
    <w:rsid w:val="6CF86F20"/>
    <w:rsid w:val="7354776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Body Text Indent 2"/>
    <w:basedOn w:val="1"/>
    <w:link w:val="9"/>
    <w:semiHidden/>
    <w:unhideWhenUsed/>
    <w:qFormat/>
    <w:uiPriority w:val="99"/>
    <w:pPr>
      <w:spacing w:after="120" w:line="480" w:lineRule="auto"/>
      <w:ind w:left="420" w:leftChars="200"/>
    </w:p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正文文本缩进 2 Char"/>
    <w:basedOn w:val="8"/>
    <w:link w:val="3"/>
    <w:semiHidden/>
    <w:qFormat/>
    <w:uiPriority w:val="99"/>
    <w:rPr>
      <w:rFonts w:ascii="Times New Roman" w:hAnsi="Times New Roman" w:eastAsia="宋体" w:cs="Times New Roman"/>
      <w:szCs w:val="24"/>
    </w:rPr>
  </w:style>
  <w:style w:type="character" w:customStyle="1" w:styleId="10">
    <w:name w:val="页眉 Char"/>
    <w:basedOn w:val="8"/>
    <w:link w:val="5"/>
    <w:qFormat/>
    <w:uiPriority w:val="99"/>
    <w:rPr>
      <w:rFonts w:ascii="Times New Roman" w:hAnsi="Times New Roman" w:eastAsia="宋体" w:cs="Times New Roman"/>
      <w:sz w:val="18"/>
      <w:szCs w:val="18"/>
    </w:rPr>
  </w:style>
  <w:style w:type="character" w:customStyle="1" w:styleId="11">
    <w:name w:val="页脚 Char"/>
    <w:basedOn w:val="8"/>
    <w:link w:val="4"/>
    <w:qFormat/>
    <w:uiPriority w:val="99"/>
    <w:rPr>
      <w:rFonts w:ascii="Times New Roman" w:hAnsi="Times New Roman" w:eastAsia="宋体" w:cs="Times New Roman"/>
      <w:sz w:val="18"/>
      <w:szCs w:val="18"/>
    </w:rPr>
  </w:style>
  <w:style w:type="character" w:customStyle="1" w:styleId="12">
    <w:name w:val="日期 Char"/>
    <w:basedOn w:val="8"/>
    <w:link w:val="2"/>
    <w:semiHidden/>
    <w:qFormat/>
    <w:uiPriority w:val="99"/>
    <w:rPr>
      <w:rFonts w:ascii="Times New Roman" w:hAnsi="Times New Roman" w:eastAsia="宋体" w:cs="Times New Roman"/>
      <w:szCs w:val="24"/>
    </w:rPr>
  </w:style>
  <w:style w:type="paragraph" w:customStyle="1" w:styleId="13">
    <w:name w:val="Table Text"/>
    <w:basedOn w:val="1"/>
    <w:semiHidden/>
    <w:qFormat/>
    <w:uiPriority w:val="0"/>
    <w:rPr>
      <w:rFonts w:ascii="宋体" w:hAnsi="宋体" w:cs="宋体"/>
      <w:sz w:val="18"/>
      <w:szCs w:val="18"/>
      <w:lang w:eastAsia="en-US"/>
    </w:rPr>
  </w:style>
  <w:style w:type="character" w:customStyle="1" w:styleId="14">
    <w:name w:val="font31"/>
    <w:qFormat/>
    <w:uiPriority w:val="0"/>
    <w:rPr>
      <w:rFonts w:hint="eastAsia" w:ascii="宋体" w:hAnsi="宋体" w:eastAsia="宋体" w:cs="宋体"/>
      <w:b/>
      <w:color w:val="000000"/>
      <w:sz w:val="22"/>
      <w:szCs w:val="22"/>
      <w:u w:val="none"/>
    </w:rPr>
  </w:style>
  <w:style w:type="character" w:customStyle="1" w:styleId="15">
    <w:name w:val="font41"/>
    <w:qFormat/>
    <w:uiPriority w:val="0"/>
    <w:rPr>
      <w:rFonts w:hint="eastAsia" w:ascii="宋体" w:hAnsi="宋体" w:eastAsia="宋体" w:cs="宋体"/>
      <w:color w:val="000000"/>
      <w:sz w:val="22"/>
      <w:szCs w:val="22"/>
      <w:u w:val="none"/>
    </w:rPr>
  </w:style>
  <w:style w:type="character" w:customStyle="1" w:styleId="16">
    <w:name w:val="font13"/>
    <w:qFormat/>
    <w:uiPriority w:val="0"/>
    <w:rPr>
      <w:rFonts w:hint="default" w:ascii="Nimbus Roman No9 L" w:hAnsi="Nimbus Roman No9 L" w:eastAsia="Nimbus Roman No9 L" w:cs="Nimbus Roman No9 L"/>
      <w:color w:val="000000"/>
      <w:sz w:val="22"/>
      <w:szCs w:val="22"/>
      <w:u w:val="none"/>
    </w:rPr>
  </w:style>
  <w:style w:type="character" w:customStyle="1" w:styleId="17">
    <w:name w:val="font111"/>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23</Pages>
  <Words>8484</Words>
  <Characters>8508</Characters>
  <Lines>7</Lines>
  <Paragraphs>2</Paragraphs>
  <TotalTime>1</TotalTime>
  <ScaleCrop>false</ScaleCrop>
  <LinksUpToDate>false</LinksUpToDate>
  <CharactersWithSpaces>8613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2024-02-20T04:08:00Z</dcterms:created>
  <dc:creator>李红霞</dc:creator>
  <cp:lastModifiedBy>酒酿樱桃子</cp:lastModifiedBy>
  <cp:lastPrinted>2024-09-25T01:25:00Z</cp:lastPrinted>
  <dcterms:modified xsi:type="dcterms:W3CDTF">2024-11-14T08:50:02Z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4C8C814CF9FA41E890D838D51971D112_12</vt:lpwstr>
  </property>
</Properties>
</file>