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ascii="微软雅黑" w:hAnsi="微软雅黑" w:eastAsia="微软雅黑" w:cs="微软雅黑"/>
          <w:b/>
          <w:bCs/>
          <w:i w:val="0"/>
          <w:iCs w:val="0"/>
          <w:caps w:val="0"/>
          <w:color w:val="000000" w:themeColor="text1"/>
          <w:spacing w:val="0"/>
          <w:sz w:val="45"/>
          <w:szCs w:val="45"/>
          <w14:textFill>
            <w14:solidFill>
              <w14:schemeClr w14:val="tx1"/>
            </w14:solidFill>
          </w14:textFill>
        </w:rPr>
      </w:pPr>
      <w:bookmarkStart w:id="0" w:name="_GoBack"/>
      <w:r>
        <w:rPr>
          <w:rFonts w:hint="eastAsia" w:ascii="微软雅黑" w:hAnsi="微软雅黑" w:eastAsia="微软雅黑" w:cs="微软雅黑"/>
          <w:b/>
          <w:bCs/>
          <w:i w:val="0"/>
          <w:iCs w:val="0"/>
          <w:caps w:val="0"/>
          <w:color w:val="000000" w:themeColor="text1"/>
          <w:spacing w:val="0"/>
          <w:sz w:val="45"/>
          <w:szCs w:val="45"/>
          <w:bdr w:val="none" w:color="auto" w:sz="0" w:space="0"/>
          <w14:textFill>
            <w14:solidFill>
              <w14:schemeClr w14:val="tx1"/>
            </w14:solidFill>
          </w14:textFill>
        </w:rPr>
        <w:t>致全县参加城乡居民养老保险人员的一封信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致全县参加城乡居民养老保险人员的一封信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尊敬的城乡居民养老保险参保人员：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您好！非常高兴您选择参加了城乡居民基本养老保险，为自己将来的养老奠定了一定的经济基础。我县自2012年7月正式启动实施城乡居民基本养老保险以来，历经了9个年头。在这几年的实施中我们发现大多数参保群众均心存疑虑，不知道参加城乡居民基本养老保险到底划不划算？每年缴费到底选择那个缴费档次更好？到底每年几月份缴费更划算？将来到龄后到底能领取多少钱的养老金？如果参保人员死亡后是不是生前缴纳的钱就不给清退了？下面就针对这些大家比较关心的话题咱们一起来算一算、说一说缴纳城乡居民基本养老保险到底划不划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首先，我们一起来了解一下什么是城乡居民基本养老保险。城乡居民基本养老保险是由政府主办、财政补贴并最终由政府兜底的一种社会养老保险，它不同于商业保险，不以营利为目的，是指我国城乡居民缴纳一定的保险费后，在年老不能从事生产劳动时，从国家和社会取得帮助，享受养老金，以保障基本生活所需的一种社会保险制度。</w:t>
      </w:r>
    </w:p>
    <w:tbl>
      <w:tblPr>
        <w:tblW w:w="928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75" w:type="dxa"/>
          <w:left w:w="150" w:type="dxa"/>
          <w:bottom w:w="75" w:type="dxa"/>
          <w:right w:w="150" w:type="dxa"/>
        </w:tblCellMar>
      </w:tblPr>
      <w:tblGrid>
        <w:gridCol w:w="1034"/>
        <w:gridCol w:w="1030"/>
        <w:gridCol w:w="1034"/>
        <w:gridCol w:w="1030"/>
        <w:gridCol w:w="1030"/>
        <w:gridCol w:w="1046"/>
        <w:gridCol w:w="1083"/>
        <w:gridCol w:w="1998"/>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241" w:hRule="atLeast"/>
        </w:trPr>
        <w:tc>
          <w:tcPr>
            <w:tcW w:w="9075" w:type="dxa"/>
            <w:gridSpan w:val="8"/>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       城乡居民养老保险缴费档次及政府补贴标准    (单位：元)</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450" w:hRule="atLeast"/>
        </w:trPr>
        <w:tc>
          <w:tcPr>
            <w:tcW w:w="103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缴费档次</w:t>
            </w:r>
          </w:p>
        </w:tc>
        <w:tc>
          <w:tcPr>
            <w:tcW w:w="100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省级补贴</w:t>
            </w:r>
          </w:p>
        </w:tc>
        <w:tc>
          <w:tcPr>
            <w:tcW w:w="103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县级补贴</w:t>
            </w:r>
          </w:p>
        </w:tc>
        <w:tc>
          <w:tcPr>
            <w:tcW w:w="63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合计</w:t>
            </w:r>
          </w:p>
        </w:tc>
        <w:tc>
          <w:tcPr>
            <w:tcW w:w="100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缴费档次</w:t>
            </w:r>
          </w:p>
        </w:tc>
        <w:tc>
          <w:tcPr>
            <w:tcW w:w="105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省级补贴</w:t>
            </w:r>
          </w:p>
        </w:tc>
        <w:tc>
          <w:tcPr>
            <w:tcW w:w="109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县级补贴</w:t>
            </w:r>
          </w:p>
        </w:tc>
        <w:tc>
          <w:tcPr>
            <w:tcW w:w="75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合计</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301" w:hRule="atLeast"/>
        </w:trPr>
        <w:tc>
          <w:tcPr>
            <w:tcW w:w="103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100</w:t>
            </w:r>
          </w:p>
        </w:tc>
        <w:tc>
          <w:tcPr>
            <w:tcW w:w="100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30</w:t>
            </w:r>
          </w:p>
        </w:tc>
        <w:tc>
          <w:tcPr>
            <w:tcW w:w="103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5</w:t>
            </w:r>
          </w:p>
        </w:tc>
        <w:tc>
          <w:tcPr>
            <w:tcW w:w="63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35</w:t>
            </w:r>
          </w:p>
        </w:tc>
        <w:tc>
          <w:tcPr>
            <w:tcW w:w="100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800</w:t>
            </w:r>
          </w:p>
        </w:tc>
        <w:tc>
          <w:tcPr>
            <w:tcW w:w="105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60</w:t>
            </w:r>
          </w:p>
        </w:tc>
        <w:tc>
          <w:tcPr>
            <w:tcW w:w="109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15</w:t>
            </w:r>
          </w:p>
        </w:tc>
        <w:tc>
          <w:tcPr>
            <w:tcW w:w="75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75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301" w:hRule="atLeast"/>
        </w:trPr>
        <w:tc>
          <w:tcPr>
            <w:tcW w:w="103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200</w:t>
            </w:r>
          </w:p>
        </w:tc>
        <w:tc>
          <w:tcPr>
            <w:tcW w:w="100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30</w:t>
            </w:r>
          </w:p>
        </w:tc>
        <w:tc>
          <w:tcPr>
            <w:tcW w:w="103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10</w:t>
            </w:r>
          </w:p>
        </w:tc>
        <w:tc>
          <w:tcPr>
            <w:tcW w:w="63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40</w:t>
            </w:r>
          </w:p>
        </w:tc>
        <w:tc>
          <w:tcPr>
            <w:tcW w:w="100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900</w:t>
            </w:r>
          </w:p>
        </w:tc>
        <w:tc>
          <w:tcPr>
            <w:tcW w:w="105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60</w:t>
            </w:r>
          </w:p>
        </w:tc>
        <w:tc>
          <w:tcPr>
            <w:tcW w:w="109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15</w:t>
            </w:r>
          </w:p>
        </w:tc>
        <w:tc>
          <w:tcPr>
            <w:tcW w:w="75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75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301" w:hRule="atLeast"/>
        </w:trPr>
        <w:tc>
          <w:tcPr>
            <w:tcW w:w="103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300</w:t>
            </w:r>
          </w:p>
        </w:tc>
        <w:tc>
          <w:tcPr>
            <w:tcW w:w="100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30</w:t>
            </w:r>
          </w:p>
        </w:tc>
        <w:tc>
          <w:tcPr>
            <w:tcW w:w="103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10</w:t>
            </w:r>
          </w:p>
        </w:tc>
        <w:tc>
          <w:tcPr>
            <w:tcW w:w="63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40</w:t>
            </w:r>
          </w:p>
        </w:tc>
        <w:tc>
          <w:tcPr>
            <w:tcW w:w="100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1000</w:t>
            </w:r>
          </w:p>
        </w:tc>
        <w:tc>
          <w:tcPr>
            <w:tcW w:w="105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60</w:t>
            </w:r>
          </w:p>
        </w:tc>
        <w:tc>
          <w:tcPr>
            <w:tcW w:w="109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15</w:t>
            </w:r>
          </w:p>
        </w:tc>
        <w:tc>
          <w:tcPr>
            <w:tcW w:w="75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75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301" w:hRule="atLeast"/>
        </w:trPr>
        <w:tc>
          <w:tcPr>
            <w:tcW w:w="103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400</w:t>
            </w:r>
          </w:p>
        </w:tc>
        <w:tc>
          <w:tcPr>
            <w:tcW w:w="100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30</w:t>
            </w:r>
          </w:p>
        </w:tc>
        <w:tc>
          <w:tcPr>
            <w:tcW w:w="103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10</w:t>
            </w:r>
          </w:p>
        </w:tc>
        <w:tc>
          <w:tcPr>
            <w:tcW w:w="63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40</w:t>
            </w:r>
          </w:p>
        </w:tc>
        <w:tc>
          <w:tcPr>
            <w:tcW w:w="100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1500</w:t>
            </w:r>
          </w:p>
        </w:tc>
        <w:tc>
          <w:tcPr>
            <w:tcW w:w="105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60</w:t>
            </w:r>
          </w:p>
        </w:tc>
        <w:tc>
          <w:tcPr>
            <w:tcW w:w="109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15</w:t>
            </w:r>
          </w:p>
        </w:tc>
        <w:tc>
          <w:tcPr>
            <w:tcW w:w="75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75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301" w:hRule="atLeast"/>
        </w:trPr>
        <w:tc>
          <w:tcPr>
            <w:tcW w:w="103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500</w:t>
            </w:r>
          </w:p>
        </w:tc>
        <w:tc>
          <w:tcPr>
            <w:tcW w:w="100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60</w:t>
            </w:r>
          </w:p>
        </w:tc>
        <w:tc>
          <w:tcPr>
            <w:tcW w:w="103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15</w:t>
            </w:r>
          </w:p>
        </w:tc>
        <w:tc>
          <w:tcPr>
            <w:tcW w:w="63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75</w:t>
            </w:r>
          </w:p>
        </w:tc>
        <w:tc>
          <w:tcPr>
            <w:tcW w:w="100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2000</w:t>
            </w:r>
          </w:p>
        </w:tc>
        <w:tc>
          <w:tcPr>
            <w:tcW w:w="105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60</w:t>
            </w:r>
          </w:p>
        </w:tc>
        <w:tc>
          <w:tcPr>
            <w:tcW w:w="109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15</w:t>
            </w:r>
          </w:p>
        </w:tc>
        <w:tc>
          <w:tcPr>
            <w:tcW w:w="75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75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301" w:hRule="atLeast"/>
        </w:trPr>
        <w:tc>
          <w:tcPr>
            <w:tcW w:w="103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600</w:t>
            </w:r>
          </w:p>
        </w:tc>
        <w:tc>
          <w:tcPr>
            <w:tcW w:w="100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60</w:t>
            </w:r>
          </w:p>
        </w:tc>
        <w:tc>
          <w:tcPr>
            <w:tcW w:w="103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15</w:t>
            </w:r>
          </w:p>
        </w:tc>
        <w:tc>
          <w:tcPr>
            <w:tcW w:w="63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75</w:t>
            </w:r>
          </w:p>
        </w:tc>
        <w:tc>
          <w:tcPr>
            <w:tcW w:w="100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2500</w:t>
            </w:r>
          </w:p>
        </w:tc>
        <w:tc>
          <w:tcPr>
            <w:tcW w:w="105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90</w:t>
            </w:r>
          </w:p>
        </w:tc>
        <w:tc>
          <w:tcPr>
            <w:tcW w:w="109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25</w:t>
            </w:r>
          </w:p>
        </w:tc>
        <w:tc>
          <w:tcPr>
            <w:tcW w:w="75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115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286" w:hRule="atLeast"/>
        </w:trPr>
        <w:tc>
          <w:tcPr>
            <w:tcW w:w="103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700</w:t>
            </w:r>
          </w:p>
        </w:tc>
        <w:tc>
          <w:tcPr>
            <w:tcW w:w="100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60</w:t>
            </w:r>
          </w:p>
        </w:tc>
        <w:tc>
          <w:tcPr>
            <w:tcW w:w="103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15</w:t>
            </w:r>
          </w:p>
        </w:tc>
        <w:tc>
          <w:tcPr>
            <w:tcW w:w="63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75</w:t>
            </w:r>
          </w:p>
        </w:tc>
        <w:tc>
          <w:tcPr>
            <w:tcW w:w="100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3000</w:t>
            </w:r>
          </w:p>
        </w:tc>
        <w:tc>
          <w:tcPr>
            <w:tcW w:w="105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90</w:t>
            </w:r>
          </w:p>
        </w:tc>
        <w:tc>
          <w:tcPr>
            <w:tcW w:w="109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25</w:t>
            </w:r>
          </w:p>
        </w:tc>
        <w:tc>
          <w:tcPr>
            <w:tcW w:w="75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115</w:t>
            </w:r>
          </w:p>
        </w:tc>
      </w:tr>
    </w:tbl>
    <w:p>
      <w:pPr>
        <w:rPr>
          <w:vanish/>
          <w:sz w:val="24"/>
          <w:szCs w:val="24"/>
        </w:rPr>
      </w:pPr>
    </w:p>
    <w:tbl>
      <w:tblPr>
        <w:tblW w:w="19260"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75" w:type="dxa"/>
          <w:left w:w="150" w:type="dxa"/>
          <w:bottom w:w="75" w:type="dxa"/>
          <w:right w:w="150" w:type="dxa"/>
        </w:tblCellMar>
      </w:tblPr>
      <w:tblGrid>
        <w:gridCol w:w="1030"/>
        <w:gridCol w:w="1030"/>
        <w:gridCol w:w="1030"/>
        <w:gridCol w:w="1030"/>
        <w:gridCol w:w="1046"/>
        <w:gridCol w:w="1030"/>
        <w:gridCol w:w="1030"/>
        <w:gridCol w:w="1030"/>
        <w:gridCol w:w="1224"/>
        <w:gridCol w:w="978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60" w:hRule="atLeast"/>
        </w:trPr>
        <w:tc>
          <w:tcPr>
            <w:tcW w:w="19050" w:type="dxa"/>
            <w:gridSpan w:val="10"/>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养老保险历年个人账户记账利率汇总</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1321" w:hRule="atLeast"/>
        </w:trPr>
        <w:tc>
          <w:tcPr>
            <w:tcW w:w="51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年度</w:t>
            </w:r>
          </w:p>
        </w:tc>
        <w:tc>
          <w:tcPr>
            <w:tcW w:w="99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银行一年期定期存款利率</w:t>
            </w:r>
          </w:p>
        </w:tc>
        <w:tc>
          <w:tcPr>
            <w:tcW w:w="79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个人账户记账年利率</w:t>
            </w:r>
          </w:p>
        </w:tc>
        <w:tc>
          <w:tcPr>
            <w:tcW w:w="54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年度</w:t>
            </w:r>
          </w:p>
        </w:tc>
        <w:tc>
          <w:tcPr>
            <w:tcW w:w="105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银行一年期定期存款利率</w:t>
            </w:r>
          </w:p>
        </w:tc>
        <w:tc>
          <w:tcPr>
            <w:tcW w:w="78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个人账户记账年利率</w:t>
            </w:r>
          </w:p>
        </w:tc>
        <w:tc>
          <w:tcPr>
            <w:tcW w:w="58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年度</w:t>
            </w:r>
          </w:p>
        </w:tc>
        <w:tc>
          <w:tcPr>
            <w:tcW w:w="97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银行一年期定期存款利率</w:t>
            </w:r>
          </w:p>
        </w:tc>
        <w:tc>
          <w:tcPr>
            <w:tcW w:w="126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个人账户记账年利率</w:t>
            </w:r>
          </w:p>
        </w:tc>
        <w:tc>
          <w:tcPr>
            <w:tcW w:w="9690" w:type="dxa"/>
            <w:tcBorders>
              <w:top w:val="single" w:color="DDDDDD" w:sz="6" w:space="0"/>
              <w:left w:val="single" w:color="DDDDDD" w:sz="6" w:space="0"/>
              <w:bottom w:val="single" w:color="DDDDDD" w:sz="6" w:space="0"/>
              <w:right w:val="single" w:color="DDDDDD" w:sz="6" w:space="0"/>
            </w:tcBorders>
            <w:shd w:val="clear" w:color="auto" w:fill="FFFFFF"/>
            <w:vAlign w:val="top"/>
          </w:tcPr>
          <w:p>
            <w:pPr>
              <w:jc w:val="center"/>
              <w:rPr>
                <w:rFonts w:hint="eastAsia" w:ascii="宋体"/>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75" w:type="dxa"/>
            <w:left w:w="150" w:type="dxa"/>
            <w:bottom w:w="75" w:type="dxa"/>
            <w:right w:w="150" w:type="dxa"/>
          </w:tblCellMar>
        </w:tblPrEx>
        <w:trPr>
          <w:trHeight w:val="241" w:hRule="atLeast"/>
        </w:trPr>
        <w:tc>
          <w:tcPr>
            <w:tcW w:w="51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2013</w:t>
            </w:r>
          </w:p>
        </w:tc>
        <w:tc>
          <w:tcPr>
            <w:tcW w:w="99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3.00%</w:t>
            </w:r>
          </w:p>
        </w:tc>
        <w:tc>
          <w:tcPr>
            <w:tcW w:w="79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3.00%</w:t>
            </w:r>
          </w:p>
        </w:tc>
        <w:tc>
          <w:tcPr>
            <w:tcW w:w="54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2016</w:t>
            </w:r>
          </w:p>
        </w:tc>
        <w:tc>
          <w:tcPr>
            <w:tcW w:w="105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1.50%</w:t>
            </w:r>
          </w:p>
        </w:tc>
        <w:tc>
          <w:tcPr>
            <w:tcW w:w="78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8.31%</w:t>
            </w:r>
          </w:p>
        </w:tc>
        <w:tc>
          <w:tcPr>
            <w:tcW w:w="58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2019</w:t>
            </w:r>
          </w:p>
        </w:tc>
        <w:tc>
          <w:tcPr>
            <w:tcW w:w="97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1.50%</w:t>
            </w:r>
          </w:p>
        </w:tc>
        <w:tc>
          <w:tcPr>
            <w:tcW w:w="126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7.61%</w:t>
            </w:r>
          </w:p>
        </w:tc>
        <w:tc>
          <w:tcPr>
            <w:tcW w:w="9690" w:type="dxa"/>
            <w:tcBorders>
              <w:top w:val="single" w:color="DDDDDD" w:sz="6" w:space="0"/>
              <w:left w:val="single" w:color="DDDDDD" w:sz="6" w:space="0"/>
              <w:bottom w:val="single" w:color="DDDDDD" w:sz="6" w:space="0"/>
              <w:right w:val="single" w:color="DDDDDD" w:sz="6" w:space="0"/>
            </w:tcBorders>
            <w:shd w:val="clear" w:color="auto" w:fill="FFFFFF"/>
            <w:vAlign w:val="top"/>
          </w:tcPr>
          <w:p>
            <w:pPr>
              <w:jc w:val="center"/>
              <w:rPr>
                <w:rFonts w:hint="eastAsia" w:ascii="宋体"/>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241" w:hRule="atLeast"/>
        </w:trPr>
        <w:tc>
          <w:tcPr>
            <w:tcW w:w="51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2014</w:t>
            </w:r>
          </w:p>
        </w:tc>
        <w:tc>
          <w:tcPr>
            <w:tcW w:w="99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2.75%</w:t>
            </w:r>
          </w:p>
        </w:tc>
        <w:tc>
          <w:tcPr>
            <w:tcW w:w="79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2.97%</w:t>
            </w:r>
          </w:p>
        </w:tc>
        <w:tc>
          <w:tcPr>
            <w:tcW w:w="54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2017</w:t>
            </w:r>
          </w:p>
        </w:tc>
        <w:tc>
          <w:tcPr>
            <w:tcW w:w="105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1.50%</w:t>
            </w:r>
          </w:p>
        </w:tc>
        <w:tc>
          <w:tcPr>
            <w:tcW w:w="78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7.12%</w:t>
            </w:r>
          </w:p>
        </w:tc>
        <w:tc>
          <w:tcPr>
            <w:tcW w:w="58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2020</w:t>
            </w:r>
          </w:p>
        </w:tc>
        <w:tc>
          <w:tcPr>
            <w:tcW w:w="97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1.50%</w:t>
            </w:r>
          </w:p>
        </w:tc>
        <w:tc>
          <w:tcPr>
            <w:tcW w:w="126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6.04%</w:t>
            </w:r>
          </w:p>
        </w:tc>
        <w:tc>
          <w:tcPr>
            <w:tcW w:w="9690" w:type="dxa"/>
            <w:tcBorders>
              <w:top w:val="single" w:color="DDDDDD" w:sz="6" w:space="0"/>
              <w:left w:val="single" w:color="DDDDDD" w:sz="6" w:space="0"/>
              <w:bottom w:val="single" w:color="DDDDDD" w:sz="6" w:space="0"/>
              <w:right w:val="single" w:color="DDDDDD" w:sz="6" w:space="0"/>
            </w:tcBorders>
            <w:shd w:val="clear" w:color="auto" w:fill="FFFFFF"/>
            <w:vAlign w:val="top"/>
          </w:tcPr>
          <w:p>
            <w:pPr>
              <w:jc w:val="center"/>
              <w:rPr>
                <w:rFonts w:hint="eastAsia" w:ascii="宋体"/>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75" w:type="dxa"/>
            <w:left w:w="150" w:type="dxa"/>
            <w:bottom w:w="75" w:type="dxa"/>
            <w:right w:w="150" w:type="dxa"/>
          </w:tblCellMar>
        </w:tblPrEx>
        <w:trPr>
          <w:trHeight w:val="256" w:hRule="atLeast"/>
        </w:trPr>
        <w:tc>
          <w:tcPr>
            <w:tcW w:w="51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2015</w:t>
            </w:r>
          </w:p>
        </w:tc>
        <w:tc>
          <w:tcPr>
            <w:tcW w:w="99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2.00%</w:t>
            </w:r>
          </w:p>
        </w:tc>
        <w:tc>
          <w:tcPr>
            <w:tcW w:w="79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2.75%</w:t>
            </w:r>
          </w:p>
        </w:tc>
        <w:tc>
          <w:tcPr>
            <w:tcW w:w="54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2018</w:t>
            </w:r>
          </w:p>
        </w:tc>
        <w:tc>
          <w:tcPr>
            <w:tcW w:w="105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1.50%</w:t>
            </w:r>
          </w:p>
        </w:tc>
        <w:tc>
          <w:tcPr>
            <w:tcW w:w="78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8.29%</w:t>
            </w:r>
          </w:p>
        </w:tc>
        <w:tc>
          <w:tcPr>
            <w:tcW w:w="58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2021</w:t>
            </w:r>
          </w:p>
        </w:tc>
        <w:tc>
          <w:tcPr>
            <w:tcW w:w="975"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1.50%</w:t>
            </w:r>
          </w:p>
        </w:tc>
        <w:tc>
          <w:tcPr>
            <w:tcW w:w="1260" w:type="dxa"/>
            <w:tcBorders>
              <w:top w:val="single" w:color="DDDDDD" w:sz="6" w:space="0"/>
              <w:left w:val="single" w:color="DDDDDD" w:sz="6" w:space="0"/>
              <w:bottom w:val="single" w:color="DDDDDD" w:sz="6" w:space="0"/>
              <w:right w:val="single" w:color="DDDDDD"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eastAsia="仿宋_GB2312" w:cs="仿宋_GB2312"/>
                <w:color w:val="333333"/>
                <w:sz w:val="31"/>
                <w:szCs w:val="31"/>
                <w:bdr w:val="none" w:color="auto" w:sz="0" w:space="0"/>
              </w:rPr>
              <w:t>5.70%</w:t>
            </w:r>
          </w:p>
        </w:tc>
        <w:tc>
          <w:tcPr>
            <w:tcW w:w="9690" w:type="dxa"/>
            <w:tcBorders>
              <w:top w:val="single" w:color="DDDDDD" w:sz="6" w:space="0"/>
              <w:left w:val="single" w:color="DDDDDD" w:sz="6" w:space="0"/>
              <w:bottom w:val="single" w:color="DDDDDD" w:sz="6" w:space="0"/>
              <w:right w:val="single" w:color="DDDDDD" w:sz="6" w:space="0"/>
            </w:tcBorders>
            <w:shd w:val="clear" w:color="auto" w:fill="FFFFFF"/>
            <w:vAlign w:val="top"/>
          </w:tcPr>
          <w:p>
            <w:pPr>
              <w:jc w:val="cente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通过上面的政府补贴标准和城乡居民养老保险个人账户记账利率大家可以看出，缴费档次越高政府补贴越多，城乡居民养老保险个人账户记账利率要高于银行同期定期存款利率。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接下来，我们就分别按照选择最低缴费档次和最高缴费档次两种情况举例来算一算大家到60周岁到底能领取多少钱的养老金？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   一、按最低缴费档次进行缴费。张某某，1966年出生，2012年7月参加城乡居民养老保险时46周岁，参保后每年均按照最低缴费档次进行缴费，累计缴费15年共计缴纳3100元，各级政府补贴共计570元，利息收入（暂时计算至2021年）约263.51元。张某某个人账户（本人缴费+政府补贴+利息收入）总金额为3933.51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2026年张某某年满60周岁，应领取居民养老金为：基础性养老金（因基础性养老金逐年调整，暂时按照2021年标准118元计算）118元+个人账户养老金（个人账户总额3933.51元÷139个月）28.29元＝146.29元。因此张某某每月最少可以领取养老金146.29元，而且年满80周岁时还可以每月领取50元的高龄补贴。同时，随着我国经济增长基础性养老金还能逐年进行调整，并支付终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二、按最高缴费档次进行缴费。李某某，1982年出生，2012年7月参加城乡居民养老保险时30周岁，参保后每年均按照最高缴费档次进行缴费，累计缴费30年共计缴纳83000元，各级政府补贴共计3240元，利息收入（暂时计算至2021年）约6192.04元。李某某个人账户（本人缴费+政府补贴+利息收入）总金额为92432.04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2042年李某某年满60周岁，应领取居民养老金为：基础性养老金（因基础性养老金逐年调整，暂时按照2021年标准118元计算）118元+个人账户养老金（个人账户总额92432.04元÷139个月）664.98元+缴费年限养老金（正常缴费超过15年的城乡居民，每超过1年，每月加发2元）30元＝812.98元。因此李某某每月最少可以领取养老金812.98元，而且年满80周岁时还可以每月领取50元的高龄补贴。同时，随着我国经济增长基础性养老金还能逐年进行调整，并支付终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通过上面两个事例，大家是不是可以感觉到，缴费档次越高将来领取的养老金就越多。特别是如果每年都按照最高缴费档次来缴费，领取的养老金已经非常接近城镇企业职工养老保险待遇,而且随着国家经济增长，将来大家领取的养老金一定会高于目前我们计算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温馨小提示：建议广大参保群众每年缴费时尽量选择年初缴费，因为我们的个人账户利息收入是在每年的12月底系统按照当年记账年利率进行自动记息，如果选择12月缴费那么当年利息收入将会很少。例如：王某如果在2020年1月选择1000元的档次缴费，那么2020年当年利息收入为(1000×6.04%)×=60.4元；如果在2020年12月缴费，那么利息收入为（1000×6.04%）×=5.03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如果参保人员不幸死亡，自己缴纳的钱又该怎么办呢？我们分别按照上面张某某和李某某缴费的情况来给大家算个帐。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1.缴费期内死亡后个人账户清退。张某某，2012年7月参加城乡居民养老保险，参保后每年按时履行缴费义务，累计缴费10年共计1600元，各级政府补贴共计370元，利息收入141.45元。张某某个人账户（本人缴费+政府补贴+利息收入）总金额为2111.45元。如2021年11月张某某因故死亡，经家属向所在乡镇社保经办机构申请，12月县社保经办机构向张某某法定继承人清退张某某城乡居民养老保险个人账户总额2111.45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2.待遇期内死亡后个人账户清退。李某某，到达法定享受待遇年龄（60周岁）时个人账户总金额为92432.04元，每月发放居民养老金为812.98元（其中：基础性养老金118元；个人账户养老金664.98元；缴费年限养老金30元）。如李某某在领取居民养老金8个月后因故死亡，经家属向所在乡镇社保经办机构申请，县社保经办机构向李某某法定继承人清退李某某城乡居民养老保险个人账户余额87112.2元,计算方式为：个人账户总额92432.04元—(月个人账户养老金664.98元×领取月数8）;同时发放给李某某法定继承人丧葬补助金1356元，共计88468.2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通过上面的几个事例可以看出，城乡居民养老保险实行完全个人账户模式，无论按照什么档次缴费，参保人员个人利益均不会减少，而且各级政府补贴资金和利息收入全部记入参保人员的个人账户中，如果出现什么意外也是可以全部进行清退的。同时，缴费档次的高低和缴费年限的长短直接影响到参保人员领取养老金的多少，充分体现了“多缴多得，长缴多得”的原则。据此，大家都可以算一算缴纳城乡居民基本养老保险这本账到底划不划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非常感谢大家选择参加城乡居民养老保险，我们非常期待还在拿不定主意参加哪种养老保险的广大居民朋友都来选择参加城乡居民养老保险，我们会倾心为您提供优质的服务。祝您身体健康、万事如意。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山丹县人力资源和社会保障局（印制）</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00B45"/>
    <w:rsid w:val="66300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2022-03-15T15:07:00Z</dcterms:created>
  <dc:creator>邹彦珍</dc:creator>
  <cp:lastModifiedBy>邹彦珍</cp:lastModifiedBy>
  <dcterms:modified xsi:type="dcterms:W3CDTF">2022-03-15T15:09:54Z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D3C97D7F0D1747B5A114E810152E92D1</vt:lpwstr>
  </property>
</Properties>
</file>