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pacing w:val="-4"/>
          <w:sz w:val="32"/>
          <w:szCs w:val="32"/>
        </w:rPr>
      </w:pPr>
      <w:r>
        <w:rPr>
          <w:rFonts w:hint="eastAsia" w:ascii="黑体" w:hAnsi="黑体" w:eastAsia="黑体"/>
          <w:spacing w:val="-4"/>
          <w:sz w:val="32"/>
          <w:szCs w:val="32"/>
        </w:rPr>
        <w:t>附件2</w:t>
      </w:r>
    </w:p>
    <w:p>
      <w:pPr>
        <w:spacing w:after="312" w:afterLines="100" w:line="620" w:lineRule="exact"/>
        <w:jc w:val="center"/>
        <w:rPr>
          <w:rFonts w:hint="eastAsia" w:ascii="方正小标宋简体" w:hAnsi="黑体" w:eastAsia="方正小标宋简体"/>
          <w:spacing w:val="-4"/>
          <w:sz w:val="44"/>
          <w:szCs w:val="44"/>
        </w:rPr>
      </w:pPr>
      <w:r>
        <w:rPr>
          <w:rFonts w:hint="eastAsia" w:ascii="方正小标宋简体" w:hAnsi="黑体" w:eastAsia="方正小标宋简体"/>
          <w:spacing w:val="-4"/>
          <w:sz w:val="44"/>
          <w:szCs w:val="44"/>
        </w:rPr>
        <w:t>县政协九届四次会议期间政协委员提案办理工作任务分解表</w:t>
      </w:r>
    </w:p>
    <w:tbl>
      <w:tblPr>
        <w:tblStyle w:val="4"/>
        <w:tblW w:w="505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7" w:type="dxa"/>
          <w:bottom w:w="0" w:type="dxa"/>
          <w:right w:w="17" w:type="dxa"/>
        </w:tblCellMar>
      </w:tblPr>
      <w:tblGrid>
        <w:gridCol w:w="895"/>
        <w:gridCol w:w="6969"/>
        <w:gridCol w:w="1155"/>
        <w:gridCol w:w="1595"/>
        <w:gridCol w:w="3542"/>
        <w:gridCol w:w="6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2" w:hRule="atLeast"/>
          <w:tblHeader/>
          <w:jc w:val="center"/>
        </w:trPr>
        <w:tc>
          <w:tcPr>
            <w:tcW w:w="303" w:type="pct"/>
            <w:noWrap w:val="0"/>
            <w:vAlign w:val="center"/>
          </w:tcPr>
          <w:p>
            <w:pPr>
              <w:spacing w:line="460" w:lineRule="exact"/>
              <w:jc w:val="center"/>
              <w:rPr>
                <w:rFonts w:hint="eastAsia" w:ascii="黑体" w:hAnsi="黑体" w:eastAsia="黑体"/>
                <w:sz w:val="24"/>
              </w:rPr>
            </w:pPr>
            <w:r>
              <w:rPr>
                <w:rFonts w:hint="eastAsia" w:ascii="黑体" w:hAnsi="黑体" w:eastAsia="黑体"/>
                <w:sz w:val="24"/>
              </w:rPr>
              <w:t>序号</w:t>
            </w:r>
          </w:p>
        </w:tc>
        <w:tc>
          <w:tcPr>
            <w:tcW w:w="2359" w:type="pct"/>
            <w:noWrap w:val="0"/>
            <w:vAlign w:val="center"/>
          </w:tcPr>
          <w:p>
            <w:pPr>
              <w:spacing w:line="460" w:lineRule="exact"/>
              <w:jc w:val="center"/>
              <w:rPr>
                <w:rFonts w:hint="eastAsia" w:ascii="黑体" w:hAnsi="黑体" w:eastAsia="黑体"/>
                <w:sz w:val="24"/>
              </w:rPr>
            </w:pPr>
            <w:r>
              <w:rPr>
                <w:rFonts w:hint="eastAsia" w:ascii="黑体" w:hAnsi="黑体" w:eastAsia="黑体"/>
                <w:sz w:val="24"/>
              </w:rPr>
              <w:t>提案</w:t>
            </w:r>
          </w:p>
        </w:tc>
        <w:tc>
          <w:tcPr>
            <w:tcW w:w="391" w:type="pct"/>
            <w:noWrap w:val="0"/>
            <w:vAlign w:val="center"/>
          </w:tcPr>
          <w:p>
            <w:pPr>
              <w:spacing w:line="460" w:lineRule="exact"/>
              <w:jc w:val="center"/>
              <w:rPr>
                <w:rFonts w:hint="eastAsia" w:ascii="黑体" w:hAnsi="黑体" w:eastAsia="黑体"/>
                <w:sz w:val="24"/>
              </w:rPr>
            </w:pPr>
            <w:r>
              <w:rPr>
                <w:rFonts w:hint="eastAsia" w:ascii="黑体" w:hAnsi="黑体" w:eastAsia="黑体"/>
                <w:sz w:val="24"/>
              </w:rPr>
              <w:t>牵头领导</w:t>
            </w:r>
          </w:p>
        </w:tc>
        <w:tc>
          <w:tcPr>
            <w:tcW w:w="540" w:type="pct"/>
            <w:tcBorders>
              <w:right w:val="single" w:color="auto" w:sz="4" w:space="0"/>
            </w:tcBorders>
            <w:noWrap w:val="0"/>
            <w:vAlign w:val="center"/>
          </w:tcPr>
          <w:p>
            <w:pPr>
              <w:spacing w:line="460" w:lineRule="exact"/>
              <w:jc w:val="center"/>
              <w:rPr>
                <w:rFonts w:hint="eastAsia" w:ascii="黑体" w:hAnsi="黑体" w:eastAsia="黑体"/>
                <w:sz w:val="24"/>
              </w:rPr>
            </w:pPr>
            <w:r>
              <w:rPr>
                <w:rFonts w:hint="eastAsia" w:ascii="黑体" w:hAnsi="黑体" w:eastAsia="黑体"/>
                <w:sz w:val="24"/>
              </w:rPr>
              <w:t>牵头单位</w:t>
            </w:r>
          </w:p>
        </w:tc>
        <w:tc>
          <w:tcPr>
            <w:tcW w:w="1199" w:type="pct"/>
            <w:tcBorders>
              <w:left w:val="single" w:color="auto" w:sz="4" w:space="0"/>
            </w:tcBorders>
            <w:noWrap w:val="0"/>
            <w:vAlign w:val="center"/>
          </w:tcPr>
          <w:p>
            <w:pPr>
              <w:spacing w:line="460" w:lineRule="exact"/>
              <w:jc w:val="center"/>
              <w:rPr>
                <w:rFonts w:hint="eastAsia" w:ascii="黑体" w:hAnsi="黑体" w:eastAsia="黑体"/>
                <w:sz w:val="24"/>
              </w:rPr>
            </w:pPr>
            <w:r>
              <w:rPr>
                <w:rFonts w:hint="eastAsia" w:ascii="黑体" w:hAnsi="黑体" w:eastAsia="黑体"/>
                <w:sz w:val="24"/>
              </w:rPr>
              <w:t>配合单位</w:t>
            </w:r>
          </w:p>
        </w:tc>
        <w:tc>
          <w:tcPr>
            <w:tcW w:w="204" w:type="pct"/>
            <w:tcBorders>
              <w:left w:val="single" w:color="auto" w:sz="4" w:space="0"/>
            </w:tcBorders>
            <w:noWrap w:val="0"/>
            <w:vAlign w:val="center"/>
          </w:tcPr>
          <w:p>
            <w:pPr>
              <w:spacing w:line="460" w:lineRule="exact"/>
              <w:jc w:val="center"/>
              <w:rPr>
                <w:rFonts w:hint="eastAsia" w:ascii="黑体" w:hAnsi="黑体" w:eastAsia="黑体"/>
                <w:sz w:val="24"/>
              </w:rPr>
            </w:pPr>
            <w:r>
              <w:rPr>
                <w:rFonts w:hint="eastAsia" w:ascii="黑体" w:hAnsi="黑体" w:eastAsia="黑体"/>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第1号</w:t>
            </w:r>
          </w:p>
        </w:tc>
        <w:tc>
          <w:tcPr>
            <w:tcW w:w="2359" w:type="pct"/>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关于对山丹一中教学环境问题进行整治的提案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张  勇</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ascii="仿宋_GB2312" w:eastAsia="仿宋_GB2312"/>
                <w:sz w:val="24"/>
              </w:rPr>
              <w:t>县</w:t>
            </w:r>
            <w:r>
              <w:rPr>
                <w:rFonts w:hint="eastAsia" w:ascii="仿宋_GB2312" w:eastAsia="仿宋_GB2312"/>
                <w:sz w:val="24"/>
              </w:rPr>
              <w:t>城管执法局</w:t>
            </w:r>
          </w:p>
        </w:tc>
        <w:tc>
          <w:tcPr>
            <w:tcW w:w="1199" w:type="pct"/>
            <w:tcBorders>
              <w:left w:val="single" w:color="auto" w:sz="4" w:space="0"/>
            </w:tcBorders>
            <w:noWrap w:val="0"/>
            <w:vAlign w:val="center"/>
          </w:tcPr>
          <w:p>
            <w:pPr>
              <w:adjustRightInd w:val="0"/>
              <w:snapToGrid w:val="0"/>
              <w:spacing w:line="340" w:lineRule="exact"/>
              <w:jc w:val="left"/>
              <w:rPr>
                <w:rFonts w:ascii="仿宋_GB2312" w:eastAsia="仿宋_GB2312"/>
                <w:sz w:val="24"/>
              </w:rPr>
            </w:pPr>
            <w:r>
              <w:rPr>
                <w:rFonts w:hint="eastAsia" w:ascii="仿宋_GB2312" w:eastAsia="仿宋_GB2312"/>
                <w:sz w:val="24"/>
              </w:rPr>
              <w:t>县文体广旅局、县融媒体中心、县公安局、市生态环境局山丹分局</w:t>
            </w:r>
          </w:p>
        </w:tc>
        <w:tc>
          <w:tcPr>
            <w:tcW w:w="204" w:type="pct"/>
            <w:tcBorders>
              <w:left w:val="single" w:color="auto" w:sz="4" w:space="0"/>
            </w:tcBorders>
            <w:noWrap w:val="0"/>
            <w:vAlign w:val="top"/>
          </w:tcPr>
          <w:p>
            <w:pPr>
              <w:adjustRightInd w:val="0"/>
              <w:snapToGrid w:val="0"/>
              <w:spacing w:line="3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第2号</w:t>
            </w:r>
          </w:p>
        </w:tc>
        <w:tc>
          <w:tcPr>
            <w:tcW w:w="2359" w:type="pct"/>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关于解决东乐工业集中区生活用水的提案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周祖国</w:t>
            </w:r>
          </w:p>
        </w:tc>
        <w:tc>
          <w:tcPr>
            <w:tcW w:w="540" w:type="pct"/>
            <w:tcBorders>
              <w:right w:val="single" w:color="auto" w:sz="4" w:space="0"/>
            </w:tcBorders>
            <w:noWrap w:val="0"/>
            <w:vAlign w:val="center"/>
          </w:tcPr>
          <w:p>
            <w:pPr>
              <w:spacing w:line="360" w:lineRule="exact"/>
              <w:jc w:val="center"/>
              <w:rPr>
                <w:rFonts w:hint="eastAsia" w:ascii="仿宋_GB2312" w:eastAsia="仿宋_GB2312"/>
                <w:sz w:val="24"/>
              </w:rPr>
            </w:pPr>
            <w:r>
              <w:rPr>
                <w:rFonts w:hint="eastAsia" w:ascii="仿宋_GB2312" w:eastAsia="仿宋_GB2312"/>
                <w:sz w:val="24"/>
              </w:rPr>
              <w:t>城北工业园区管委会办公室</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县水务局、县住建局、东乐镇、甘肃水务山丹供水有限责任公司</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第3号</w:t>
            </w:r>
          </w:p>
        </w:tc>
        <w:tc>
          <w:tcPr>
            <w:tcW w:w="2359" w:type="pct"/>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关于加强学校体育工作的提案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县教育</w:t>
            </w:r>
            <w:r>
              <w:rPr>
                <w:rFonts w:ascii="仿宋_GB2312" w:eastAsia="仿宋_GB2312"/>
                <w:sz w:val="24"/>
              </w:rPr>
              <w:t>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第4号</w:t>
            </w:r>
          </w:p>
        </w:tc>
        <w:tc>
          <w:tcPr>
            <w:tcW w:w="2359" w:type="pct"/>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关于加强对校外培训机构进行管理的提案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县教育局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第5号</w:t>
            </w:r>
          </w:p>
        </w:tc>
        <w:tc>
          <w:tcPr>
            <w:tcW w:w="2359" w:type="pct"/>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关于我县冬季集中供暖提前延后供暖时间的提案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周</w:t>
            </w:r>
            <w:r>
              <w:rPr>
                <w:rFonts w:ascii="仿宋_GB2312" w:eastAsia="仿宋_GB2312"/>
                <w:sz w:val="24"/>
              </w:rPr>
              <w:t>祖国</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ascii="仿宋_GB2312" w:eastAsia="仿宋_GB2312"/>
                <w:sz w:val="24"/>
              </w:rPr>
              <w:t>县</w:t>
            </w:r>
            <w:r>
              <w:rPr>
                <w:rFonts w:hint="eastAsia" w:ascii="仿宋_GB2312" w:eastAsia="仿宋_GB2312"/>
                <w:sz w:val="24"/>
              </w:rPr>
              <w:t>住建</w:t>
            </w:r>
            <w:r>
              <w:rPr>
                <w:rFonts w:ascii="仿宋_GB2312" w:eastAsia="仿宋_GB2312"/>
                <w:sz w:val="24"/>
              </w:rPr>
              <w:t>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第6号</w:t>
            </w:r>
          </w:p>
        </w:tc>
        <w:tc>
          <w:tcPr>
            <w:tcW w:w="2359" w:type="pct"/>
            <w:noWrap w:val="0"/>
            <w:vAlign w:val="center"/>
          </w:tcPr>
          <w:p>
            <w:pPr>
              <w:adjustRightInd w:val="0"/>
              <w:snapToGrid w:val="0"/>
              <w:spacing w:line="440" w:lineRule="exact"/>
              <w:rPr>
                <w:rFonts w:hint="eastAsia" w:ascii="仿宋_GB2312" w:eastAsia="仿宋_GB2312"/>
                <w:sz w:val="24"/>
              </w:rPr>
            </w:pPr>
            <w:r>
              <w:rPr>
                <w:rFonts w:hint="eastAsia" w:ascii="仿宋_GB2312" w:eastAsia="仿宋_GB2312"/>
                <w:sz w:val="24"/>
              </w:rPr>
              <w:t>关于规范出租车管理提升城市形象的提案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张  勇</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w:t>
            </w:r>
            <w:r>
              <w:rPr>
                <w:rFonts w:ascii="仿宋_GB2312" w:eastAsia="仿宋_GB2312"/>
                <w:sz w:val="24"/>
              </w:rPr>
              <w:t>交通运输局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第7号</w:t>
            </w:r>
          </w:p>
        </w:tc>
        <w:tc>
          <w:tcPr>
            <w:tcW w:w="2359" w:type="pct"/>
            <w:noWrap w:val="0"/>
            <w:vAlign w:val="center"/>
          </w:tcPr>
          <w:p>
            <w:pPr>
              <w:adjustRightInd w:val="0"/>
              <w:snapToGrid w:val="0"/>
              <w:spacing w:line="440" w:lineRule="exact"/>
              <w:rPr>
                <w:rFonts w:hint="eastAsia" w:ascii="仿宋_GB2312" w:eastAsia="仿宋_GB2312"/>
                <w:sz w:val="24"/>
              </w:rPr>
            </w:pPr>
            <w:r>
              <w:rPr>
                <w:rFonts w:hint="eastAsia" w:ascii="仿宋_GB2312" w:eastAsia="仿宋_GB2312"/>
                <w:sz w:val="24"/>
              </w:rPr>
              <w:t>关于减轻教师学生及家长信息化负担的提案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县教育</w:t>
            </w:r>
            <w:r>
              <w:rPr>
                <w:rFonts w:ascii="仿宋_GB2312" w:eastAsia="仿宋_GB2312"/>
                <w:sz w:val="24"/>
              </w:rPr>
              <w:t>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第8号</w:t>
            </w:r>
          </w:p>
        </w:tc>
        <w:tc>
          <w:tcPr>
            <w:tcW w:w="2359" w:type="pct"/>
            <w:noWrap w:val="0"/>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关于新建或改扩建山丹一中的提案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县教育</w:t>
            </w:r>
            <w:r>
              <w:rPr>
                <w:rFonts w:ascii="仿宋_GB2312" w:eastAsia="仿宋_GB2312"/>
                <w:sz w:val="24"/>
              </w:rPr>
              <w:t>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第9号</w:t>
            </w:r>
          </w:p>
        </w:tc>
        <w:tc>
          <w:tcPr>
            <w:tcW w:w="2359" w:type="pct"/>
            <w:noWrap w:val="0"/>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关于规范治理农民宴席操办 加强乡风文明建设的提案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hint="eastAsia" w:ascii="仿宋_GB2312" w:eastAsia="仿宋_GB2312"/>
                <w:sz w:val="24"/>
              </w:rPr>
            </w:pPr>
            <w:r>
              <w:rPr>
                <w:rFonts w:hint="eastAsia" w:ascii="仿宋_GB2312" w:eastAsia="仿宋_GB2312"/>
                <w:sz w:val="24"/>
              </w:rPr>
              <w:t>文明办</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县纪委监委、各乡镇</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tcBorders>
              <w:bottom w:val="single" w:color="auto" w:sz="6"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第10号</w:t>
            </w:r>
          </w:p>
        </w:tc>
        <w:tc>
          <w:tcPr>
            <w:tcW w:w="2359" w:type="pct"/>
            <w:tcBorders>
              <w:bottom w:val="single" w:color="auto" w:sz="6" w:space="0"/>
            </w:tcBorders>
            <w:noWrap w:val="0"/>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关于弘扬孝道文化，促进社会和谐的提案</w:t>
            </w:r>
          </w:p>
        </w:tc>
        <w:tc>
          <w:tcPr>
            <w:tcW w:w="391" w:type="pct"/>
            <w:tcBorders>
              <w:bottom w:val="single" w:color="auto" w:sz="6" w:space="0"/>
            </w:tcBorders>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黄国杰</w:t>
            </w:r>
          </w:p>
        </w:tc>
        <w:tc>
          <w:tcPr>
            <w:tcW w:w="540" w:type="pct"/>
            <w:tcBorders>
              <w:bottom w:val="single" w:color="auto" w:sz="6" w:space="0"/>
              <w:right w:val="single" w:color="auto" w:sz="4" w:space="0"/>
            </w:tcBorders>
            <w:noWrap w:val="0"/>
            <w:vAlign w:val="center"/>
          </w:tcPr>
          <w:p>
            <w:pPr>
              <w:spacing w:line="360" w:lineRule="exact"/>
              <w:jc w:val="center"/>
              <w:rPr>
                <w:rFonts w:hint="eastAsia" w:ascii="仿宋_GB2312" w:eastAsia="仿宋_GB2312"/>
                <w:sz w:val="24"/>
              </w:rPr>
            </w:pPr>
            <w:r>
              <w:rPr>
                <w:rFonts w:hint="eastAsia" w:ascii="仿宋_GB2312" w:eastAsia="仿宋_GB2312"/>
                <w:sz w:val="24"/>
              </w:rPr>
              <w:t>文明办</w:t>
            </w:r>
          </w:p>
        </w:tc>
        <w:tc>
          <w:tcPr>
            <w:tcW w:w="1199" w:type="pct"/>
            <w:tcBorders>
              <w:left w:val="single" w:color="auto" w:sz="4" w:space="0"/>
              <w:bottom w:val="single" w:color="auto" w:sz="6" w:space="0"/>
            </w:tcBorders>
            <w:noWrap w:val="0"/>
            <w:vAlign w:val="center"/>
          </w:tcPr>
          <w:p>
            <w:pPr>
              <w:adjustRightInd w:val="0"/>
              <w:snapToGrid w:val="0"/>
              <w:spacing w:line="440" w:lineRule="exact"/>
              <w:jc w:val="left"/>
              <w:rPr>
                <w:rFonts w:ascii="仿宋_GB2312" w:eastAsia="仿宋_GB2312"/>
                <w:sz w:val="24"/>
              </w:rPr>
            </w:pPr>
            <w:r>
              <w:rPr>
                <w:rFonts w:hint="eastAsia" w:ascii="仿宋_GB2312" w:eastAsia="仿宋_GB2312"/>
                <w:sz w:val="24"/>
              </w:rPr>
              <w:t>县民政局、各乡镇</w:t>
            </w:r>
          </w:p>
        </w:tc>
        <w:tc>
          <w:tcPr>
            <w:tcW w:w="204" w:type="pct"/>
            <w:tcBorders>
              <w:left w:val="single" w:color="auto" w:sz="4" w:space="0"/>
              <w:bottom w:val="single" w:color="auto" w:sz="6"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第11号</w:t>
            </w:r>
          </w:p>
        </w:tc>
        <w:tc>
          <w:tcPr>
            <w:tcW w:w="2359" w:type="pct"/>
            <w:noWrap w:val="0"/>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关于加快推进我县城区居民住宅楼二次供水系统建设及维护管理的提案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严秀峰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县住建局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县水务局、甘肃水务山丹供水有限责任公司</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ascii="仿宋_GB2312" w:eastAsia="仿宋_GB2312"/>
                <w:sz w:val="24"/>
              </w:rPr>
            </w:pPr>
            <w:r>
              <w:rPr>
                <w:rFonts w:hint="eastAsia" w:ascii="仿宋_GB2312" w:eastAsia="仿宋_GB2312"/>
                <w:sz w:val="24"/>
              </w:rPr>
              <w:t>第12号</w:t>
            </w:r>
          </w:p>
        </w:tc>
        <w:tc>
          <w:tcPr>
            <w:tcW w:w="2359" w:type="pct"/>
            <w:noWrap w:val="0"/>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关于加快旅游经济发展的提案</w:t>
            </w:r>
          </w:p>
        </w:tc>
        <w:tc>
          <w:tcPr>
            <w:tcW w:w="391" w:type="pct"/>
            <w:noWrap w:val="0"/>
            <w:vAlign w:val="center"/>
          </w:tcPr>
          <w:p>
            <w:pPr>
              <w:adjustRightInd w:val="0"/>
              <w:snapToGrid w:val="0"/>
              <w:spacing w:line="440" w:lineRule="exact"/>
              <w:jc w:val="center"/>
              <w:rPr>
                <w:rFonts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ascii="仿宋_GB2312" w:eastAsia="仿宋_GB2312"/>
                <w:sz w:val="24"/>
              </w:rPr>
              <w:t>县</w:t>
            </w:r>
            <w:r>
              <w:rPr>
                <w:rFonts w:hint="eastAsia" w:ascii="仿宋_GB2312" w:eastAsia="仿宋_GB2312"/>
                <w:sz w:val="24"/>
              </w:rPr>
              <w:t>文体广旅</w:t>
            </w:r>
            <w:r>
              <w:rPr>
                <w:rFonts w:ascii="仿宋_GB2312" w:eastAsia="仿宋_GB2312"/>
                <w:sz w:val="24"/>
              </w:rPr>
              <w:t>局</w:t>
            </w:r>
          </w:p>
        </w:tc>
        <w:tc>
          <w:tcPr>
            <w:tcW w:w="1199" w:type="pct"/>
            <w:tcBorders>
              <w:left w:val="single" w:color="auto" w:sz="4" w:space="0"/>
            </w:tcBorders>
            <w:noWrap w:val="0"/>
            <w:vAlign w:val="center"/>
          </w:tcPr>
          <w:p>
            <w:pPr>
              <w:adjustRightInd w:val="0"/>
              <w:snapToGrid w:val="0"/>
              <w:spacing w:line="440" w:lineRule="exact"/>
              <w:jc w:val="left"/>
              <w:rPr>
                <w:rFonts w:ascii="仿宋_GB2312" w:eastAsia="仿宋_GB2312"/>
                <w:sz w:val="24"/>
              </w:rPr>
            </w:pP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hint="eastAsia" w:ascii="仿宋_GB2312" w:eastAsia="仿宋_GB2312"/>
                <w:sz w:val="24"/>
              </w:rPr>
            </w:pPr>
            <w:r>
              <w:rPr>
                <w:rFonts w:hint="eastAsia" w:ascii="仿宋_GB2312" w:eastAsia="仿宋_GB2312"/>
                <w:sz w:val="24"/>
              </w:rPr>
              <w:t>第13号</w:t>
            </w:r>
          </w:p>
        </w:tc>
        <w:tc>
          <w:tcPr>
            <w:tcW w:w="2359" w:type="pct"/>
            <w:noWrap w:val="0"/>
            <w:vAlign w:val="center"/>
          </w:tcPr>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关于进一步做好我县民俗文化保护和传承工作的提案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黄国杰</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县文体广旅局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各乡镇</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303" w:type="pct"/>
            <w:noWrap w:val="0"/>
            <w:vAlign w:val="center"/>
          </w:tcPr>
          <w:p>
            <w:pPr>
              <w:spacing w:line="360" w:lineRule="exact"/>
              <w:jc w:val="center"/>
              <w:rPr>
                <w:rFonts w:hint="eastAsia" w:ascii="仿宋_GB2312" w:eastAsia="仿宋_GB2312"/>
                <w:sz w:val="24"/>
              </w:rPr>
            </w:pPr>
            <w:r>
              <w:rPr>
                <w:rFonts w:hint="eastAsia" w:ascii="仿宋_GB2312" w:eastAsia="仿宋_GB2312"/>
                <w:sz w:val="24"/>
              </w:rPr>
              <w:t>第14号</w:t>
            </w:r>
          </w:p>
        </w:tc>
        <w:tc>
          <w:tcPr>
            <w:tcW w:w="2359" w:type="pct"/>
            <w:noWrap w:val="0"/>
            <w:vAlign w:val="center"/>
          </w:tcPr>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关于整治小区停车场乱收费问题的提案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周祖国</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县住建局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县发改局、县公安局交警大队、县城管执法局、市场监管局</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hint="eastAsia" w:ascii="仿宋_GB2312" w:eastAsia="仿宋_GB2312"/>
                <w:sz w:val="24"/>
              </w:rPr>
            </w:pPr>
            <w:r>
              <w:rPr>
                <w:rFonts w:hint="eastAsia" w:ascii="仿宋_GB2312" w:eastAsia="仿宋_GB2312"/>
                <w:sz w:val="24"/>
              </w:rPr>
              <w:t>第15号</w:t>
            </w:r>
          </w:p>
        </w:tc>
        <w:tc>
          <w:tcPr>
            <w:tcW w:w="2359" w:type="pct"/>
            <w:noWrap w:val="0"/>
            <w:vAlign w:val="center"/>
          </w:tcPr>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关于建立医疗废物处置中心的提案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周祖国</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县卫生健康局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县住建局</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hint="eastAsia" w:ascii="仿宋_GB2312" w:eastAsia="仿宋_GB2312"/>
                <w:sz w:val="24"/>
              </w:rPr>
            </w:pPr>
            <w:r>
              <w:rPr>
                <w:rFonts w:hint="eastAsia" w:ascii="仿宋_GB2312" w:eastAsia="仿宋_GB2312"/>
                <w:sz w:val="24"/>
              </w:rPr>
              <w:t>第16号</w:t>
            </w:r>
          </w:p>
        </w:tc>
        <w:tc>
          <w:tcPr>
            <w:tcW w:w="2359" w:type="pct"/>
            <w:noWrap w:val="0"/>
            <w:vAlign w:val="center"/>
          </w:tcPr>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关于为全县中小学招聘补充年轻教师的提案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周祖国</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县人社局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县委编办、县教育局</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737" w:hRule="atLeast"/>
          <w:jc w:val="center"/>
        </w:trPr>
        <w:tc>
          <w:tcPr>
            <w:tcW w:w="303" w:type="pct"/>
            <w:noWrap w:val="0"/>
            <w:vAlign w:val="center"/>
          </w:tcPr>
          <w:p>
            <w:pPr>
              <w:spacing w:line="360" w:lineRule="exact"/>
              <w:jc w:val="center"/>
              <w:rPr>
                <w:rFonts w:hint="eastAsia" w:ascii="仿宋_GB2312" w:eastAsia="仿宋_GB2312"/>
                <w:sz w:val="24"/>
              </w:rPr>
            </w:pPr>
            <w:r>
              <w:rPr>
                <w:rFonts w:hint="eastAsia" w:ascii="仿宋_GB2312" w:eastAsia="仿宋_GB2312"/>
                <w:sz w:val="24"/>
              </w:rPr>
              <w:t>第17号</w:t>
            </w:r>
          </w:p>
        </w:tc>
        <w:tc>
          <w:tcPr>
            <w:tcW w:w="2359" w:type="pct"/>
            <w:noWrap w:val="0"/>
            <w:vAlign w:val="center"/>
          </w:tcPr>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关于在居民小区安装固定充电设备的提案</w:t>
            </w:r>
          </w:p>
        </w:tc>
        <w:tc>
          <w:tcPr>
            <w:tcW w:w="391" w:type="pct"/>
            <w:noWrap w:val="0"/>
            <w:vAlign w:val="center"/>
          </w:tcPr>
          <w:p>
            <w:pPr>
              <w:adjustRightInd w:val="0"/>
              <w:snapToGrid w:val="0"/>
              <w:spacing w:line="440" w:lineRule="exact"/>
              <w:jc w:val="center"/>
              <w:rPr>
                <w:rFonts w:hint="eastAsia" w:ascii="仿宋_GB2312" w:eastAsia="仿宋_GB2312"/>
                <w:sz w:val="24"/>
              </w:rPr>
            </w:pPr>
            <w:r>
              <w:rPr>
                <w:rFonts w:hint="eastAsia" w:ascii="仿宋_GB2312" w:eastAsia="仿宋_GB2312"/>
                <w:sz w:val="24"/>
              </w:rPr>
              <w:t>周祖国</w:t>
            </w:r>
          </w:p>
        </w:tc>
        <w:tc>
          <w:tcPr>
            <w:tcW w:w="540" w:type="pct"/>
            <w:tcBorders>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县住建局</w:t>
            </w:r>
          </w:p>
        </w:tc>
        <w:tc>
          <w:tcPr>
            <w:tcW w:w="1199" w:type="pct"/>
            <w:tcBorders>
              <w:left w:val="single" w:color="auto" w:sz="4" w:space="0"/>
            </w:tcBorders>
            <w:noWrap w:val="0"/>
            <w:vAlign w:val="center"/>
          </w:tcPr>
          <w:p>
            <w:pPr>
              <w:adjustRightInd w:val="0"/>
              <w:snapToGrid w:val="0"/>
              <w:spacing w:line="440" w:lineRule="exact"/>
              <w:jc w:val="left"/>
              <w:rPr>
                <w:rFonts w:hint="eastAsia" w:ascii="仿宋_GB2312" w:eastAsia="仿宋_GB2312"/>
                <w:sz w:val="24"/>
              </w:rPr>
            </w:pPr>
            <w:r>
              <w:rPr>
                <w:rFonts w:hint="eastAsia" w:ascii="仿宋_GB2312" w:eastAsia="仿宋_GB2312"/>
                <w:sz w:val="24"/>
              </w:rPr>
              <w:t>清泉镇</w:t>
            </w:r>
          </w:p>
        </w:tc>
        <w:tc>
          <w:tcPr>
            <w:tcW w:w="204" w:type="pct"/>
            <w:tcBorders>
              <w:left w:val="single" w:color="auto" w:sz="4" w:space="0"/>
            </w:tcBorders>
            <w:noWrap w:val="0"/>
            <w:vAlign w:val="top"/>
          </w:tcPr>
          <w:p>
            <w:pPr>
              <w:adjustRightInd w:val="0"/>
              <w:snapToGrid w:val="0"/>
              <w:spacing w:line="440" w:lineRule="exact"/>
              <w:jc w:val="center"/>
              <w:rPr>
                <w:rFonts w:ascii="仿宋_GB2312" w:eastAsia="仿宋_GB2312"/>
                <w:sz w:val="24"/>
              </w:rPr>
            </w:pPr>
          </w:p>
        </w:tc>
      </w:tr>
    </w:tbl>
    <w:p>
      <w:pPr>
        <w:spacing w:after="312" w:afterLines="100" w:line="620" w:lineRule="exact"/>
        <w:ind w:firstLine="236" w:firstLineChars="98"/>
        <w:rPr>
          <w:rFonts w:hint="eastAsia" w:ascii="方正小标宋简体" w:hAnsi="黑体" w:eastAsia="方正小标宋简体"/>
          <w:spacing w:val="-4"/>
          <w:sz w:val="24"/>
        </w:rPr>
      </w:pPr>
      <w:r>
        <w:rPr>
          <w:rFonts w:hint="eastAsia" w:ascii="仿宋_GB2312" w:eastAsia="仿宋_GB2312"/>
          <w:b/>
          <w:sz w:val="24"/>
        </w:rPr>
        <w:t>注：</w:t>
      </w:r>
      <w:r>
        <w:rPr>
          <w:rFonts w:hint="eastAsia" w:ascii="仿宋_GB2312" w:eastAsia="仿宋_GB2312"/>
          <w:sz w:val="24"/>
        </w:rPr>
        <w:t>根据政协委员提案内容，各牵头和配合部门均有承办责任，办理情况汇交牵头部门统一答复，不得单独答复。</w:t>
      </w:r>
    </w:p>
    <w:p>
      <w:pPr>
        <w:rPr>
          <w:rFonts w:hint="eastAsia"/>
        </w:rPr>
        <w:sectPr>
          <w:footerReference r:id="rId3" w:type="default"/>
          <w:pgSz w:w="16838" w:h="11906" w:orient="landscape"/>
          <w:pgMar w:top="1418" w:right="1134" w:bottom="1418" w:left="1134" w:header="851" w:footer="1134"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- 8 -</w:t>
    </w:r>
    <w:r>
      <w:rPr>
        <w:rFonts w:ascii="宋体" w:hAnsi="宋体"/>
        <w:sz w:val="28"/>
        <w:szCs w:val="28"/>
      </w:rPr>
      <w:fldChar w:fldCharType="end"/>
    </w:r>
  </w:p>
  <w:p>
    <w:pPr>
      <w:pStyle w:val="3"/>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07D97"/>
    <w:rsid w:val="4890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firstLine="440" w:firstLineChars="200"/>
    </w:pPr>
    <w:rPr>
      <w:rFonts w:ascii="Calibri" w:hAnsi="Calibri" w:cs="Calibri"/>
      <w:sz w:val="22"/>
      <w:szCs w:val="22"/>
    </w:r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2020-10-13T03:49:00Z</dcterms:created>
  <dc:creator>sdxzfb</dc:creator>
  <cp:lastModifiedBy>sdxzfb</cp:lastModifiedBy>
  <dcterms:modified xsi:type="dcterms:W3CDTF">2020-10-13T03:56:58Z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